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2C08E"/>
    <w:p w14:paraId="5D7DBB67">
      <w:pPr>
        <w:spacing w:line="540" w:lineRule="exact"/>
        <w:jc w:val="center"/>
        <w:rPr>
          <w:rFonts w:hint="default" w:ascii="Times New Roman" w:hAnsi="Times New Roman" w:eastAsia="华文中宋" w:cs="Times New Roman"/>
          <w:b/>
          <w:kern w:val="0"/>
          <w:sz w:val="52"/>
          <w:szCs w:val="52"/>
        </w:rPr>
      </w:pPr>
    </w:p>
    <w:p w14:paraId="71470F8A">
      <w:pPr>
        <w:spacing w:line="540" w:lineRule="exact"/>
        <w:rPr>
          <w:rFonts w:hint="default" w:ascii="Times New Roman" w:hAnsi="Times New Roman" w:eastAsia="华文中宋" w:cs="Times New Roman"/>
          <w:b/>
          <w:kern w:val="0"/>
          <w:sz w:val="52"/>
          <w:szCs w:val="52"/>
        </w:rPr>
      </w:pPr>
    </w:p>
    <w:p w14:paraId="633229DF">
      <w:pPr>
        <w:spacing w:line="540" w:lineRule="exact"/>
        <w:jc w:val="center"/>
        <w:rPr>
          <w:rFonts w:hint="default" w:ascii="Times New Roman" w:hAnsi="Times New Roman" w:eastAsia="华文中宋" w:cs="Times New Roman"/>
          <w:b/>
          <w:kern w:val="0"/>
          <w:sz w:val="52"/>
          <w:szCs w:val="52"/>
        </w:rPr>
      </w:pPr>
    </w:p>
    <w:p w14:paraId="0C4149C2">
      <w:pPr>
        <w:spacing w:line="540" w:lineRule="exact"/>
        <w:jc w:val="center"/>
        <w:rPr>
          <w:rFonts w:hint="default" w:ascii="Times New Roman" w:hAnsi="Times New Roman" w:eastAsia="华文中宋" w:cs="Times New Roman"/>
          <w:b/>
          <w:kern w:val="0"/>
          <w:sz w:val="52"/>
          <w:szCs w:val="52"/>
        </w:rPr>
      </w:pPr>
    </w:p>
    <w:p w14:paraId="4CA9740F">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中央农业农业资源及生态保护（草原生态补助奖励）资金项目支出绩效评价</w:t>
      </w:r>
    </w:p>
    <w:p w14:paraId="163A0BEA">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41E83DCA">
      <w:pPr>
        <w:spacing w:line="540" w:lineRule="exact"/>
        <w:jc w:val="center"/>
        <w:rPr>
          <w:rFonts w:hint="default" w:ascii="Times New Roman" w:hAnsi="Times New Roman" w:eastAsia="华文中宋" w:cs="Times New Roman"/>
          <w:b/>
          <w:kern w:val="0"/>
          <w:sz w:val="52"/>
          <w:szCs w:val="52"/>
        </w:rPr>
      </w:pPr>
    </w:p>
    <w:p w14:paraId="61227ACC">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23DA377F">
      <w:pPr>
        <w:spacing w:line="540" w:lineRule="exact"/>
        <w:jc w:val="center"/>
        <w:rPr>
          <w:rFonts w:hint="default" w:ascii="Times New Roman" w:hAnsi="Times New Roman" w:eastAsia="仿宋_GB2312" w:cs="Times New Roman"/>
          <w:kern w:val="0"/>
          <w:sz w:val="30"/>
          <w:szCs w:val="30"/>
        </w:rPr>
      </w:pPr>
    </w:p>
    <w:p w14:paraId="256A97C6">
      <w:pPr>
        <w:spacing w:line="540" w:lineRule="exact"/>
        <w:jc w:val="center"/>
        <w:rPr>
          <w:rFonts w:hint="default" w:ascii="Times New Roman" w:hAnsi="Times New Roman" w:eastAsia="仿宋_GB2312" w:cs="Times New Roman"/>
          <w:kern w:val="0"/>
          <w:sz w:val="30"/>
          <w:szCs w:val="30"/>
        </w:rPr>
      </w:pPr>
    </w:p>
    <w:p w14:paraId="1B55E5BB">
      <w:pPr>
        <w:spacing w:line="540" w:lineRule="exact"/>
        <w:jc w:val="center"/>
        <w:rPr>
          <w:rFonts w:hint="default" w:ascii="Times New Roman" w:hAnsi="Times New Roman" w:eastAsia="仿宋_GB2312" w:cs="Times New Roman"/>
          <w:kern w:val="0"/>
          <w:sz w:val="30"/>
          <w:szCs w:val="30"/>
        </w:rPr>
      </w:pPr>
    </w:p>
    <w:p w14:paraId="027C4CF9">
      <w:pPr>
        <w:pStyle w:val="10"/>
        <w:rPr>
          <w:rFonts w:hint="default" w:ascii="Times New Roman" w:hAnsi="Times New Roman" w:cs="Times New Roman"/>
        </w:rPr>
      </w:pPr>
    </w:p>
    <w:p w14:paraId="5C43624E">
      <w:pPr>
        <w:spacing w:line="540" w:lineRule="exact"/>
        <w:jc w:val="center"/>
        <w:rPr>
          <w:rFonts w:hint="default" w:ascii="Times New Roman" w:hAnsi="Times New Roman" w:eastAsia="仿宋_GB2312" w:cs="Times New Roman"/>
          <w:kern w:val="0"/>
          <w:sz w:val="30"/>
          <w:szCs w:val="30"/>
        </w:rPr>
      </w:pPr>
    </w:p>
    <w:p w14:paraId="57143F50">
      <w:pPr>
        <w:spacing w:line="540" w:lineRule="exact"/>
        <w:rPr>
          <w:rFonts w:hint="default" w:ascii="Times New Roman" w:hAnsi="Times New Roman" w:eastAsia="仿宋_GB2312" w:cs="Times New Roman"/>
          <w:kern w:val="0"/>
          <w:sz w:val="30"/>
          <w:szCs w:val="30"/>
        </w:rPr>
      </w:pPr>
    </w:p>
    <w:p w14:paraId="301721BA">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项目名称：中央农业农业资源及生态保护（草原生态补助奖励）资金</w:t>
      </w:r>
    </w:p>
    <w:p w14:paraId="0E3DEAFB">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裕民县畜牧兽医局</w:t>
      </w:r>
    </w:p>
    <w:p w14:paraId="51F71535">
      <w:pPr>
        <w:spacing w:line="240" w:lineRule="auto"/>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裕民县农业农村局</w:t>
      </w:r>
    </w:p>
    <w:p w14:paraId="5548A263">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余勇</w:t>
      </w:r>
    </w:p>
    <w:p w14:paraId="40D96364">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16</w:t>
      </w:r>
      <w:r>
        <w:rPr>
          <w:rFonts w:hint="default" w:ascii="Times New Roman" w:hAnsi="Times New Roman" w:eastAsia="仿宋_GB2312" w:cs="Times New Roman"/>
          <w:kern w:val="0"/>
          <w:sz w:val="36"/>
          <w:szCs w:val="36"/>
        </w:rPr>
        <w:t>日</w:t>
      </w:r>
    </w:p>
    <w:p w14:paraId="35B9ADBE">
      <w:pPr>
        <w:spacing w:line="540" w:lineRule="exact"/>
        <w:jc w:val="center"/>
        <w:rPr>
          <w:rFonts w:hint="default" w:ascii="Times New Roman" w:hAnsi="Times New Roman" w:eastAsia="仿宋_GB2312" w:cs="Times New Roman"/>
          <w:kern w:val="0"/>
          <w:sz w:val="30"/>
          <w:szCs w:val="30"/>
        </w:rPr>
      </w:pPr>
    </w:p>
    <w:p w14:paraId="7DEB80FD">
      <w:pPr>
        <w:numPr>
          <w:ilvl w:val="0"/>
          <w:numId w:val="1"/>
        </w:num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基本情况</w:t>
      </w:r>
    </w:p>
    <w:p w14:paraId="0DAD1F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5CC25FAF">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0CF1759">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按照生产生态有机结合，生态优先方针，树立“环保优先，生态立区”的理念，以草原保护与生态恢复为目标，以民生改善为根本，扎实推进草原保护“三项”基本制度，保护和恢复天然草原生态环境。根据</w:t>
      </w:r>
      <w:r>
        <w:rPr>
          <w:rFonts w:hint="default" w:ascii="Times New Roman" w:hAnsi="Times New Roman" w:eastAsia="仿宋_GB2312" w:cs="Times New Roman"/>
          <w:color w:val="auto"/>
          <w:kern w:val="0"/>
          <w:sz w:val="32"/>
          <w:szCs w:val="32"/>
          <w:highlight w:val="none"/>
          <w:lang w:val="en-US" w:eastAsia="zh-CN"/>
        </w:rPr>
        <w:t>塔地财农[2023]28号裕财农[2023]25号提前下达2024年中央农业农业资源及生态保护（草原生态补助奖励）资金</w:t>
      </w:r>
      <w:r>
        <w:rPr>
          <w:rFonts w:hint="eastAsia" w:ascii="Times New Roman" w:hAnsi="Times New Roman" w:eastAsia="仿宋_GB2312" w:cs="Times New Roman"/>
          <w:color w:val="auto"/>
          <w:kern w:val="0"/>
          <w:sz w:val="32"/>
          <w:szCs w:val="32"/>
          <w:highlight w:val="none"/>
          <w:lang w:val="en-US" w:eastAsia="zh-CN"/>
        </w:rPr>
        <w:t>项目，</w:t>
      </w:r>
      <w:r>
        <w:rPr>
          <w:rFonts w:hint="default" w:ascii="Times New Roman" w:hAnsi="Times New Roman" w:eastAsia="仿宋_GB2312" w:cs="Times New Roman"/>
          <w:color w:val="auto"/>
          <w:kern w:val="0"/>
          <w:sz w:val="32"/>
          <w:szCs w:val="32"/>
          <w:highlight w:val="none"/>
          <w:lang w:val="en-US" w:eastAsia="zh-CN"/>
        </w:rPr>
        <w:t>全面推行草原禁牧和草畜平衡制度</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促进草原生态环境稳步恢复</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尤其是水源涵养区禁牧面积的扩大</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为打造最美草原奠定</w:t>
      </w:r>
      <w:r>
        <w:rPr>
          <w:rFonts w:hint="eastAsia" w:ascii="Times New Roman" w:hAnsi="Times New Roman" w:eastAsia="仿宋_GB2312" w:cs="Times New Roman"/>
          <w:color w:val="auto"/>
          <w:kern w:val="0"/>
          <w:sz w:val="32"/>
          <w:szCs w:val="32"/>
          <w:highlight w:val="none"/>
          <w:lang w:val="en-US" w:eastAsia="zh-CN"/>
        </w:rPr>
        <w:t>良好的</w:t>
      </w:r>
      <w:r>
        <w:rPr>
          <w:rFonts w:hint="default" w:ascii="Times New Roman" w:hAnsi="Times New Roman" w:eastAsia="仿宋_GB2312" w:cs="Times New Roman"/>
          <w:color w:val="auto"/>
          <w:kern w:val="0"/>
          <w:sz w:val="32"/>
          <w:szCs w:val="32"/>
          <w:highlight w:val="none"/>
          <w:lang w:val="en-US" w:eastAsia="zh-CN"/>
        </w:rPr>
        <w:t>基础</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加快推动草原畜牧业生产方式转变</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提升绿色畜产品生产供应水平</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为加快建设生态文明</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全面建成小康社会、维护民族团结和边疆稳定作出贡献</w:t>
      </w:r>
      <w:r>
        <w:rPr>
          <w:rFonts w:hint="eastAsia" w:ascii="Times New Roman" w:hAnsi="Times New Roman" w:eastAsia="仿宋_GB2312" w:cs="Times New Roman"/>
          <w:color w:val="auto"/>
          <w:kern w:val="0"/>
          <w:sz w:val="32"/>
          <w:szCs w:val="32"/>
          <w:highlight w:val="none"/>
          <w:lang w:val="en-US" w:eastAsia="zh-CN"/>
        </w:rPr>
        <w:t>。</w:t>
      </w:r>
    </w:p>
    <w:p w14:paraId="300EFE55">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21C3771C">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通过实施草原畜牧业转型工程</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不断拓宽牧民增收渠道</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稳步提高牧民增收水平</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一是对以温性荒漠类草地（主要是沙质温性荒漠亚类、砾石质温性荒漠亚类）、高寒荒漠类草地、高寒草原类草地为主划定的58.2万亩禁牧区域（哈拉达拉禁牧区22.2万亩、齐巴拉库勒禁牧区30万亩）和2007年-2010年退牧还草工程50万亩禁牧区</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全部实行统一禁牧补助标准</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按6元/亩发放</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共108.2万亩</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需发放补助资金649.2万元；二是对重要水源涵养地和草地类自然保护区</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按50元/亩发放</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共10万亩</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需发放补助资金500万元。 二是据农业农村部《草畜平衡管理办法》和《自治区不同草地类型载畜量核定标准》</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经摸底调查和统计测算：我县共需落实草畜平衡区域面积537万亩。管护人员由各乡镇（场）原监理部门人员</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落实草畜平衡制度按每亩奖励2.5元计算</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共需发放草畜平衡奖励资金1342.5万元。</w:t>
      </w:r>
    </w:p>
    <w:p w14:paraId="6ADFE18D">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项目实施情况：中央农业农业资源及生态保护（草原生态补助奖励）</w:t>
      </w:r>
      <w:r>
        <w:rPr>
          <w:rFonts w:hint="eastAsia" w:ascii="Times New Roman" w:hAnsi="Times New Roman" w:eastAsia="仿宋_GB2312" w:cs="Times New Roman"/>
          <w:color w:val="auto"/>
          <w:kern w:val="0"/>
          <w:sz w:val="32"/>
          <w:szCs w:val="32"/>
          <w:highlight w:val="none"/>
          <w:lang w:val="en-US" w:eastAsia="zh-CN"/>
        </w:rPr>
        <w:t>项目</w:t>
      </w:r>
      <w:r>
        <w:rPr>
          <w:rFonts w:hint="default" w:ascii="Times New Roman" w:hAnsi="Times New Roman" w:eastAsia="仿宋_GB2312" w:cs="Times New Roman"/>
          <w:color w:val="auto"/>
          <w:kern w:val="0"/>
          <w:sz w:val="32"/>
          <w:szCs w:val="32"/>
          <w:highlight w:val="none"/>
          <w:lang w:val="en-US" w:eastAsia="zh-CN"/>
        </w:rPr>
        <w:t>资金</w:t>
      </w:r>
      <w:r>
        <w:rPr>
          <w:rFonts w:hint="eastAsia" w:ascii="Times New Roman" w:hAnsi="Times New Roman" w:eastAsia="仿宋_GB2312" w:cs="Times New Roman"/>
          <w:color w:val="auto"/>
          <w:kern w:val="0"/>
          <w:sz w:val="32"/>
          <w:szCs w:val="32"/>
          <w:highlight w:val="none"/>
          <w:lang w:val="en-US" w:eastAsia="zh-CN"/>
        </w:rPr>
        <w:t>2491.58万元，</w:t>
      </w:r>
      <w:r>
        <w:rPr>
          <w:rFonts w:hint="default" w:ascii="Times New Roman" w:hAnsi="Times New Roman" w:eastAsia="仿宋_GB2312" w:cs="Times New Roman"/>
          <w:color w:val="auto"/>
          <w:kern w:val="0"/>
          <w:sz w:val="32"/>
          <w:szCs w:val="32"/>
          <w:highlight w:val="none"/>
          <w:lang w:val="en-US" w:eastAsia="zh-CN"/>
        </w:rPr>
        <w:t>截止2024年12月25日</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完成禁牧113.16万亩、水源地10万亩和草畜平衡535.56万亩的奖补资金发放任务。通过实施草原补助奖励政策</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全面推行草原禁牧和草畜平衡制度</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促进草原生态环境稳步恢复</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为打造最美草原奠定基础。有效提高农牧民对生态环境的保护意识。</w:t>
      </w:r>
    </w:p>
    <w:p w14:paraId="46A436DE">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665DA09C">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（1）资金投入情况</w:t>
      </w:r>
    </w:p>
    <w:p w14:paraId="566A3952">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该项目年初预算数</w:t>
      </w:r>
      <w:r>
        <w:rPr>
          <w:rFonts w:hint="eastAsia" w:ascii="Times New Roman" w:hAnsi="Times New Roman" w:eastAsia="仿宋_GB2312" w:cs="Times New Roman"/>
          <w:color w:val="auto"/>
          <w:kern w:val="0"/>
          <w:sz w:val="32"/>
          <w:szCs w:val="32"/>
          <w:highlight w:val="none"/>
          <w:lang w:val="en-US" w:eastAsia="zh-CN"/>
        </w:rPr>
        <w:t>2491.58</w:t>
      </w:r>
      <w:r>
        <w:rPr>
          <w:rFonts w:hint="default" w:ascii="Times New Roman" w:hAnsi="Times New Roman" w:eastAsia="仿宋_GB2312" w:cs="Times New Roman"/>
          <w:color w:val="auto"/>
          <w:kern w:val="0"/>
          <w:sz w:val="32"/>
          <w:szCs w:val="32"/>
          <w:highlight w:val="none"/>
          <w:lang w:val="en-US" w:eastAsia="zh-CN"/>
        </w:rPr>
        <w:t>万元</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全年预算数</w:t>
      </w:r>
      <w:r>
        <w:rPr>
          <w:rFonts w:hint="eastAsia" w:ascii="Times New Roman" w:hAnsi="Times New Roman" w:eastAsia="仿宋_GB2312" w:cs="Times New Roman"/>
          <w:color w:val="auto"/>
          <w:kern w:val="0"/>
          <w:sz w:val="32"/>
          <w:szCs w:val="32"/>
          <w:highlight w:val="none"/>
          <w:lang w:val="en-US" w:eastAsia="zh-CN"/>
        </w:rPr>
        <w:t>2491.58</w:t>
      </w:r>
      <w:r>
        <w:rPr>
          <w:rFonts w:hint="default" w:ascii="Times New Roman" w:hAnsi="Times New Roman" w:eastAsia="仿宋_GB2312" w:cs="Times New Roman"/>
          <w:color w:val="auto"/>
          <w:kern w:val="0"/>
          <w:sz w:val="32"/>
          <w:szCs w:val="32"/>
          <w:highlight w:val="none"/>
          <w:lang w:val="en-US" w:eastAsia="zh-CN"/>
        </w:rPr>
        <w:t>万元</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该项目资金已全部落实到位</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资金来源为</w:t>
      </w:r>
      <w:r>
        <w:rPr>
          <w:rFonts w:hint="eastAsia" w:ascii="Times New Roman" w:hAnsi="Times New Roman" w:eastAsia="仿宋_GB2312" w:cs="Times New Roman"/>
          <w:color w:val="auto"/>
          <w:kern w:val="0"/>
          <w:sz w:val="32"/>
          <w:szCs w:val="32"/>
          <w:highlight w:val="none"/>
          <w:lang w:val="en-US" w:eastAsia="zh-CN"/>
        </w:rPr>
        <w:t>财政拨款</w:t>
      </w:r>
      <w:r>
        <w:rPr>
          <w:rFonts w:hint="default" w:ascii="Times New Roman" w:hAnsi="Times New Roman" w:eastAsia="仿宋_GB2312" w:cs="Times New Roman"/>
          <w:color w:val="auto"/>
          <w:kern w:val="0"/>
          <w:sz w:val="32"/>
          <w:szCs w:val="32"/>
          <w:highlight w:val="none"/>
          <w:lang w:val="en-US" w:eastAsia="zh-CN"/>
        </w:rPr>
        <w:t>。</w:t>
      </w:r>
    </w:p>
    <w:p w14:paraId="70D6B9A4">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（2）资金使用情况</w:t>
      </w:r>
    </w:p>
    <w:p w14:paraId="7B542A4D">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该项目年初预算数</w:t>
      </w:r>
      <w:r>
        <w:rPr>
          <w:rFonts w:hint="eastAsia" w:ascii="Times New Roman" w:hAnsi="Times New Roman" w:eastAsia="仿宋_GB2312" w:cs="Times New Roman"/>
          <w:color w:val="auto"/>
          <w:kern w:val="0"/>
          <w:sz w:val="32"/>
          <w:szCs w:val="32"/>
          <w:highlight w:val="none"/>
          <w:lang w:val="en-US" w:eastAsia="zh-CN"/>
        </w:rPr>
        <w:t>2491.58</w:t>
      </w:r>
      <w:r>
        <w:rPr>
          <w:rFonts w:hint="default" w:ascii="Times New Roman" w:hAnsi="Times New Roman" w:eastAsia="仿宋_GB2312" w:cs="Times New Roman"/>
          <w:color w:val="auto"/>
          <w:kern w:val="0"/>
          <w:sz w:val="32"/>
          <w:szCs w:val="32"/>
          <w:highlight w:val="none"/>
          <w:lang w:val="en-US" w:eastAsia="zh-CN"/>
        </w:rPr>
        <w:t>万元</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全年预算数</w:t>
      </w:r>
      <w:r>
        <w:rPr>
          <w:rFonts w:hint="eastAsia" w:ascii="Times New Roman" w:hAnsi="Times New Roman" w:eastAsia="仿宋_GB2312" w:cs="Times New Roman"/>
          <w:color w:val="auto"/>
          <w:kern w:val="0"/>
          <w:sz w:val="32"/>
          <w:szCs w:val="32"/>
          <w:highlight w:val="none"/>
          <w:lang w:val="en-US" w:eastAsia="zh-CN"/>
        </w:rPr>
        <w:t>2491.58</w:t>
      </w:r>
      <w:r>
        <w:rPr>
          <w:rFonts w:hint="default" w:ascii="Times New Roman" w:hAnsi="Times New Roman" w:eastAsia="仿宋_GB2312" w:cs="Times New Roman"/>
          <w:color w:val="auto"/>
          <w:kern w:val="0"/>
          <w:sz w:val="32"/>
          <w:szCs w:val="32"/>
          <w:highlight w:val="none"/>
          <w:lang w:val="en-US" w:eastAsia="zh-CN"/>
        </w:rPr>
        <w:t>万元</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全年执行数</w:t>
      </w:r>
      <w:r>
        <w:rPr>
          <w:rFonts w:hint="eastAsia" w:ascii="Times New Roman" w:hAnsi="Times New Roman" w:eastAsia="仿宋_GB2312" w:cs="Times New Roman"/>
          <w:color w:val="auto"/>
          <w:kern w:val="0"/>
          <w:sz w:val="32"/>
          <w:szCs w:val="32"/>
          <w:highlight w:val="none"/>
          <w:lang w:val="en-US" w:eastAsia="zh-CN"/>
        </w:rPr>
        <w:t>2476.92</w:t>
      </w:r>
      <w:r>
        <w:rPr>
          <w:rFonts w:hint="default" w:ascii="Times New Roman" w:hAnsi="Times New Roman" w:eastAsia="仿宋_GB2312" w:cs="Times New Roman"/>
          <w:color w:val="auto"/>
          <w:kern w:val="0"/>
          <w:sz w:val="32"/>
          <w:szCs w:val="32"/>
          <w:highlight w:val="none"/>
          <w:lang w:val="en-US" w:eastAsia="zh-CN"/>
        </w:rPr>
        <w:t>万元</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预算执行率为</w:t>
      </w:r>
      <w:r>
        <w:rPr>
          <w:rFonts w:hint="eastAsia" w:ascii="Times New Roman" w:hAnsi="Times New Roman" w:eastAsia="仿宋_GB2312" w:cs="Times New Roman"/>
          <w:color w:val="auto"/>
          <w:kern w:val="0"/>
          <w:sz w:val="32"/>
          <w:szCs w:val="32"/>
          <w:highlight w:val="none"/>
          <w:lang w:val="en-US" w:eastAsia="zh-CN"/>
        </w:rPr>
        <w:t>99.41</w:t>
      </w:r>
      <w:r>
        <w:rPr>
          <w:rFonts w:hint="default" w:ascii="Times New Roman" w:hAnsi="Times New Roman" w:eastAsia="仿宋_GB2312" w:cs="Times New Roman"/>
          <w:color w:val="auto"/>
          <w:kern w:val="0"/>
          <w:sz w:val="32"/>
          <w:szCs w:val="32"/>
          <w:highlight w:val="none"/>
          <w:lang w:val="en-US" w:eastAsia="zh-CN"/>
        </w:rPr>
        <w:t>%</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主要用于：</w:t>
      </w:r>
      <w:r>
        <w:rPr>
          <w:rFonts w:hint="eastAsia" w:ascii="Times New Roman" w:hAnsi="Times New Roman" w:eastAsia="仿宋_GB2312" w:cs="Times New Roman"/>
          <w:color w:val="auto"/>
          <w:kern w:val="0"/>
          <w:sz w:val="32"/>
          <w:szCs w:val="32"/>
          <w:highlight w:val="none"/>
          <w:lang w:val="en-US" w:eastAsia="zh-CN"/>
        </w:rPr>
        <w:t>完成</w:t>
      </w:r>
      <w:r>
        <w:rPr>
          <w:rFonts w:hint="default" w:ascii="Times New Roman" w:hAnsi="Times New Roman" w:eastAsia="仿宋_GB2312" w:cs="Times New Roman"/>
          <w:color w:val="auto"/>
          <w:kern w:val="0"/>
          <w:sz w:val="32"/>
          <w:szCs w:val="32"/>
          <w:highlight w:val="none"/>
          <w:lang w:val="en-US" w:eastAsia="zh-CN"/>
        </w:rPr>
        <w:t>禁牧113.16万亩、水源地10万亩和草畜平衡535.56万亩的奖补资金发放任务。</w:t>
      </w:r>
    </w:p>
    <w:p w14:paraId="3F37C1A4">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45E0F0DC">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1.总体目标</w:t>
      </w:r>
    </w:p>
    <w:p w14:paraId="393081BF">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通过实施草原补助奖励政策</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全面推行草原禁牧和草畜平衡制度</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促进草原生态环境稳步恢复</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为打造最美草原奠定基础。本项目计划投入</w:t>
      </w:r>
      <w:r>
        <w:rPr>
          <w:rFonts w:hint="eastAsia" w:ascii="Times New Roman" w:hAnsi="Times New Roman" w:eastAsia="仿宋_GB2312" w:cs="Times New Roman"/>
          <w:color w:val="auto"/>
          <w:kern w:val="0"/>
          <w:sz w:val="32"/>
          <w:szCs w:val="32"/>
          <w:highlight w:val="none"/>
          <w:lang w:val="en-US" w:eastAsia="zh-CN"/>
        </w:rPr>
        <w:t>2491.58</w:t>
      </w:r>
      <w:r>
        <w:rPr>
          <w:rFonts w:hint="default" w:ascii="Times New Roman" w:hAnsi="Times New Roman" w:eastAsia="仿宋_GB2312" w:cs="Times New Roman"/>
          <w:color w:val="auto"/>
          <w:kern w:val="0"/>
          <w:sz w:val="32"/>
          <w:szCs w:val="32"/>
          <w:highlight w:val="none"/>
          <w:lang w:val="en-US" w:eastAsia="zh-CN"/>
        </w:rPr>
        <w:t>万元</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用于完成禁牧108.19万亩、水源地10万亩和草畜平衡536.97万亩的奖补资金发放任务。有效提高农牧民对生态环境的保护意识</w:t>
      </w:r>
      <w:r>
        <w:rPr>
          <w:rFonts w:hint="eastAsia" w:ascii="Times New Roman" w:hAnsi="Times New Roman" w:eastAsia="仿宋_GB2312" w:cs="Times New Roman"/>
          <w:color w:val="auto"/>
          <w:kern w:val="0"/>
          <w:sz w:val="32"/>
          <w:szCs w:val="32"/>
          <w:highlight w:val="none"/>
          <w:lang w:val="en-US" w:eastAsia="zh-CN"/>
        </w:rPr>
        <w:t>。</w:t>
      </w:r>
    </w:p>
    <w:p w14:paraId="72204674">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2.阶段性目标</w:t>
      </w:r>
    </w:p>
    <w:p w14:paraId="0B7AA864">
      <w:pPr>
        <w:spacing w:line="560" w:lineRule="exact"/>
        <w:ind w:firstLine="640" w:firstLineChars="200"/>
        <w:rPr>
          <w:rFonts w:hint="default"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根据项目实施方案，该项目于2024年1月至6月期间完成</w:t>
      </w:r>
      <w:r>
        <w:rPr>
          <w:rFonts w:hint="default" w:ascii="Times New Roman" w:hAnsi="Times New Roman" w:eastAsia="仿宋_GB2312" w:cs="Times New Roman"/>
          <w:color w:val="auto"/>
          <w:kern w:val="0"/>
          <w:sz w:val="32"/>
          <w:szCs w:val="32"/>
          <w:highlight w:val="none"/>
          <w:lang w:val="en-US" w:eastAsia="zh-CN"/>
        </w:rPr>
        <w:t>以温性荒漠类草地（主要是沙质温性荒漠亚类、砾石质温性荒漠亚类）、高寒荒漠类草地、高寒草原类草地为主划定的58.2万亩禁牧区域（哈拉达拉禁牧区22.2万亩、齐巴拉库勒禁牧区30万亩）和2007年-2010年退牧还草工程50万亩禁牧区</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二是</w:t>
      </w:r>
      <w:r>
        <w:rPr>
          <w:rFonts w:hint="eastAsia" w:ascii="Times New Roman" w:hAnsi="Times New Roman" w:eastAsia="仿宋_GB2312" w:cs="Times New Roman"/>
          <w:color w:val="auto"/>
          <w:kern w:val="0"/>
          <w:sz w:val="32"/>
          <w:szCs w:val="32"/>
          <w:highlight w:val="none"/>
          <w:lang w:val="en-US" w:eastAsia="zh-CN"/>
        </w:rPr>
        <w:t>10万亩</w:t>
      </w:r>
      <w:r>
        <w:rPr>
          <w:rFonts w:hint="default" w:ascii="Times New Roman" w:hAnsi="Times New Roman" w:eastAsia="仿宋_GB2312" w:cs="Times New Roman"/>
          <w:color w:val="auto"/>
          <w:kern w:val="0"/>
          <w:sz w:val="32"/>
          <w:szCs w:val="32"/>
          <w:highlight w:val="none"/>
          <w:lang w:val="en-US" w:eastAsia="zh-CN"/>
        </w:rPr>
        <w:t>重要水源涵养地和草地类自然保护区</w:t>
      </w:r>
      <w:r>
        <w:rPr>
          <w:rFonts w:hint="eastAsia" w:ascii="Times New Roman" w:hAnsi="Times New Roman" w:eastAsia="仿宋_GB2312" w:cs="Times New Roman"/>
          <w:color w:val="auto"/>
          <w:kern w:val="0"/>
          <w:sz w:val="32"/>
          <w:szCs w:val="32"/>
          <w:highlight w:val="none"/>
          <w:lang w:val="en-US" w:eastAsia="zh-CN"/>
        </w:rPr>
        <w:t>，三</w:t>
      </w:r>
      <w:r>
        <w:rPr>
          <w:rFonts w:hint="default" w:ascii="Times New Roman" w:hAnsi="Times New Roman" w:eastAsia="仿宋_GB2312" w:cs="Times New Roman"/>
          <w:color w:val="auto"/>
          <w:kern w:val="0"/>
          <w:sz w:val="32"/>
          <w:szCs w:val="32"/>
          <w:highlight w:val="none"/>
          <w:lang w:val="en-US" w:eastAsia="zh-CN"/>
        </w:rPr>
        <w:t>是537万亩草畜平衡区域</w:t>
      </w:r>
      <w:r>
        <w:rPr>
          <w:rFonts w:hint="eastAsia" w:ascii="Times New Roman" w:hAnsi="Times New Roman" w:eastAsia="仿宋_GB2312" w:cs="Times New Roman"/>
          <w:color w:val="auto"/>
          <w:kern w:val="0"/>
          <w:sz w:val="32"/>
          <w:szCs w:val="32"/>
          <w:highlight w:val="none"/>
          <w:lang w:val="en-US" w:eastAsia="zh-CN"/>
        </w:rPr>
        <w:t>面积的核实工作，通过项目实施，加快推动草原畜牧业生产方式转变，提升绿色畜产品生产供应水平，不断拓宽牧民增收渠道，稳步提高牧民增收水平。</w:t>
      </w:r>
    </w:p>
    <w:p w14:paraId="4E37E70B">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5C2F0089">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19886EB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1F494AA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严格遵循相关法规与标准</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确保评价内容的全面性与准确性。报告涵盖了项目从预算编制、执行到完成的全过程</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对项目的各项绩效指标进行了细致的梳理与评估。</w:t>
      </w:r>
    </w:p>
    <w:p w14:paraId="0AAE9DC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充分考虑了项目的性质、目标以及预期成果</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选取了具有代表性和可衡量性的关键指标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涵盖了社会效益、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力求全方位反映项目的绩效状况。同时</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对于每个指标的评价标准和数据来源均进行了明确说明</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确保评价结果的客观性和可追溯性。</w:t>
      </w:r>
    </w:p>
    <w:p w14:paraId="5CF3A0A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采用了多种科学合理的方法</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如实地调研、问卷调查、数据分析等</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广泛收集了与项目相关的各类数据</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并运用专业的统计分析工具对数据进行深入挖掘</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以确保评价结论的科学性和可靠性。此外</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还对数据的质量和完整性进行了严格把控</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对于缺失或异常的数据进行了合理的处理和说明</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保证了评价数据的真实性和有效性。</w:t>
      </w:r>
    </w:p>
    <w:p w14:paraId="3294ED5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按照统一的格式和规范进行编排</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内容层次分明、条理清晰。首先对项目的背景、目标和预算安排进行了简要介绍</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为后续的绩效评价提供了必要的背景信息；接着详细阐述了绩效评价的指标体系、评价方法和数据来源</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为评价过程的透明性和可复现性奠定了基础；然后对各项绩效指标的完成情况进行了逐一分析和评价</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指出了项目在实施过程中存在的问题和不足</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并提出了相应的改进建议；最后对整个项目的绩效状况进行了综合总结</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给出了明确的评价结论和后续工作的建议</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为项目的持续改进和决策提供了有力支持。</w:t>
      </w:r>
    </w:p>
    <w:p w14:paraId="62A2588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能够真实、客观地反映项目的绩效情况</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为项目管理决策提供了有价值的参考依据。在未来的工作中</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我们将继续完善绩效评价体系</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不断提升评价工作的质量和水平</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以更好地服务于项目的管理和优化。</w:t>
      </w:r>
    </w:p>
    <w:p w14:paraId="4FE159F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3C9E7B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0A24A2D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通过对项目预算执行情况及各项绩效目标达成程度的系统性分析</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全面、客观地评估项目在预定周期内的实施效果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包括社会效益、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效益以及可持续性等多维度指标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为项目后续的改进与优化提供科学依据。</w:t>
      </w:r>
    </w:p>
    <w:p w14:paraId="23FE2C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C0C2F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识别资金使用过程中的冗余环节与低效领域</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挖掘潜在的资源优化配置空间</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推动项目在有限的预算资源下实现更高的绩效产出</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提升整体资源利用效率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确保财政资金的合理、高效运用。</w:t>
      </w:r>
    </w:p>
    <w:p w14:paraId="13AE2C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04AE90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借助绩效评价结果对项目管理过程进行监督与问责</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促使项目管理者增强责任意识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主动优化管理流程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完善内部控制机制</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提高项目管理水平与执行力</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保障项目按计划、高质量推进。</w:t>
      </w:r>
    </w:p>
    <w:p w14:paraId="588B82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011D0D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辅助其在项目审批、预算安排、政策调整等关键决策环节做出更加科学、合理的判断</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促进项目资源的合理分配与有效整合</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推动项目管理体系的不断完善与升级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提升公共资源配置的精准度与有效性。</w:t>
      </w:r>
    </w:p>
    <w:p w14:paraId="2A82DB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35EBA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提出针对性的改进建议与措施</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引导项目团队聚焦关键环节</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持续优化项目实施方案</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加强过程监控与质量把控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形成项目绩效持续改进的良性循环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不断提升项目整体绩效水平</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实现项目长期稳定发展的目标。</w:t>
      </w:r>
    </w:p>
    <w:p w14:paraId="51EAEC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w:t>
      </w:r>
      <w:r>
        <w:rPr>
          <w:rFonts w:hint="default" w:ascii="Times New Roman" w:hAnsi="Times New Roman" w:eastAsia="仿宋_GB2312" w:cs="Times New Roman"/>
          <w:sz w:val="32"/>
          <w:szCs w:val="32"/>
          <w:highlight w:val="none"/>
          <w:lang w:val="en-US" w:eastAsia="zh-CN"/>
        </w:rPr>
        <w:t>绩效评价报告的编制以提升项目绩效为核心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旨在通过科学、严谨的评价工作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为项目管理与决策提供全方位、深层次的支持</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推</w:t>
      </w:r>
      <w:r>
        <w:rPr>
          <w:rFonts w:hint="default" w:ascii="Times New Roman" w:hAnsi="Times New Roman" w:eastAsia="仿宋_GB2312" w:cs="Times New Roman"/>
          <w:sz w:val="32"/>
          <w:szCs w:val="32"/>
          <w:highlight w:val="none"/>
        </w:rPr>
        <w:t>动项目在预算约束下实现高质量、可持续发展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充分发挥财政资金的经济效益与社会效益。</w:t>
      </w:r>
    </w:p>
    <w:p w14:paraId="6E384CE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1E8BDA0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本项目预算绩效评价报告的评价对象是中央农业农业资源及生态保护</w:t>
      </w:r>
      <w:r>
        <w:rPr>
          <w:rFonts w:hint="default" w:ascii="Times New Roman" w:hAnsi="Times New Roman" w:eastAsia="仿宋_GB2312" w:cs="Times New Roman"/>
          <w:b w:val="0"/>
          <w:bCs w:val="0"/>
          <w:kern w:val="2"/>
          <w:sz w:val="32"/>
          <w:szCs w:val="32"/>
          <w:highlight w:val="none"/>
          <w:lang w:val="en-US" w:eastAsia="zh-CN" w:bidi="ar-SA"/>
        </w:rPr>
        <w:t>（草原生态补助奖励）资金及其预算执行情况。该项目由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裕民县畜牧兽医局</w:t>
      </w:r>
      <w:r>
        <w:rPr>
          <w:rFonts w:hint="default" w:ascii="Times New Roman" w:hAnsi="Times New Roman" w:eastAsia="仿宋_GB2312" w:cs="Times New Roman"/>
          <w:b w:val="0"/>
          <w:bCs w:val="0"/>
          <w:kern w:val="2"/>
          <w:sz w:val="32"/>
          <w:szCs w:val="32"/>
          <w:highlight w:val="none"/>
          <w:lang w:val="en-US" w:eastAsia="zh-CN" w:bidi="ar-SA"/>
        </w:rPr>
        <w:t>负责实施</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旨在完成禁牧113.16万亩、水源地10万亩和草畜平衡535.56万亩的奖补资金发放任务。通过实施草原补助奖励政</w:t>
      </w:r>
      <w:r>
        <w:rPr>
          <w:rFonts w:hint="default" w:ascii="Times New Roman" w:hAnsi="Times New Roman" w:eastAsia="仿宋_GB2312" w:cs="Times New Roman"/>
          <w:b w:val="0"/>
          <w:bCs w:val="0"/>
          <w:highlight w:val="none"/>
        </w:rPr>
        <w:t>策</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全面推行草原禁牧和草畜平衡制度</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促进草原生态环境稳步恢复</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为打造最美草原奠定基础。有效提高农牧民对生态环境的保护意识。项目预算涵盖从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2024年10月31日</w:t>
      </w:r>
      <w:r>
        <w:rPr>
          <w:rFonts w:hint="default" w:ascii="Times New Roman" w:hAnsi="Times New Roman" w:eastAsia="仿宋_GB2312" w:cs="Times New Roman"/>
          <w:b w:val="0"/>
          <w:bCs w:val="0"/>
          <w:highlight w:val="none"/>
        </w:rPr>
        <w:t>的全部资金投入与支出</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涉及资金总额为</w:t>
      </w:r>
      <w:r>
        <w:rPr>
          <w:rFonts w:hint="eastAsia" w:ascii="Times New Roman" w:hAnsi="Times New Roman" w:eastAsia="仿宋_GB2312" w:cs="Times New Roman"/>
          <w:b w:val="0"/>
          <w:bCs w:val="0"/>
          <w:highlight w:val="none"/>
          <w:lang w:val="en-US" w:eastAsia="zh-CN"/>
        </w:rPr>
        <w:t>2491.58</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02B2233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251FDA3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涵盖了从项目立项至评价时点期间的所有关键预算活动和财务流程。具体而言</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评价范围包括但不限于以下几个方面：</w:t>
      </w:r>
    </w:p>
    <w:p w14:paraId="716F5AB6">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包括预算调整的原因和效果。</w:t>
      </w:r>
    </w:p>
    <w:p w14:paraId="0D20C627">
      <w:pPr>
        <w:pStyle w:val="1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2</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资金管理：深入分析项目资金的分配、使用和监管情况</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确保资金使用的合规性、高效性和透明度。</w:t>
      </w:r>
    </w:p>
    <w:p w14:paraId="04BFBFFD">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各项任务是否按时完成</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以及项目产出的数量、质量和时效性是否符合预期。</w:t>
      </w:r>
    </w:p>
    <w:p w14:paraId="6E069A1E">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等方面的综合影响。</w:t>
      </w:r>
    </w:p>
    <w:p w14:paraId="710136B8">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78907B8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6E7C57E8">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188A419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（1）科学公正。绩效评价应当运用科学合理的方法</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按照规范的程序</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对项目绩效进行客观、公正的反映。</w:t>
      </w:r>
    </w:p>
    <w:p w14:paraId="1D29B89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（2）统筹兼顾。单位自评、部门评价和财政评价应职责明确</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各有侧重</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相互衔接。单位自评应由项目单位自主实施</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即“谁支出、谁自评”。部门评价和财政评价应在单位自评的基础上开展。</w:t>
      </w:r>
    </w:p>
    <w:p w14:paraId="3E98B89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（3）激励约束。绩效评价结果应与预算安排、政策调整、改进管理实质性挂钩</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体现奖优罚劣和激励相容导向</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有效要安排、低效要压减、无效要问责。</w:t>
      </w:r>
    </w:p>
    <w:p w14:paraId="416EF44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（4）公开透明。绩效评价结果应依法依规公开</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并自觉接受社会监督。</w:t>
      </w:r>
    </w:p>
    <w:p w14:paraId="57439DD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25A63BE0">
      <w:pPr>
        <w:spacing w:line="560" w:lineRule="exact"/>
        <w:ind w:firstLine="640"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sz w:val="32"/>
          <w:szCs w:val="32"/>
          <w:highlight w:val="none"/>
          <w:lang w:val="en-US" w:eastAsia="zh-CN"/>
        </w:rPr>
        <w:t>绩效评价框架是开展绩效评价的核心。绩效评价框架包括评价准则、关键评价问题、评价指标、数据来源、数据收集方法等。指标</w:t>
      </w:r>
      <w:r>
        <w:rPr>
          <w:rFonts w:hint="default" w:ascii="Times New Roman" w:hAnsi="Times New Roman" w:eastAsia="仿宋_GB2312" w:cs="Times New Roman"/>
          <w:color w:val="000000"/>
          <w:spacing w:val="17"/>
          <w:sz w:val="32"/>
          <w:szCs w:val="32"/>
          <w:highlight w:val="none"/>
        </w:rPr>
        <w:t>体系建立过程如下：</w:t>
      </w:r>
    </w:p>
    <w:p w14:paraId="51088F1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2A478AB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采用因素分析法</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建立评价指标体系。绩效评价将指标分为项目决策指标、项目过程指标、项目产出指标、项目效益指标四个维度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最终形成一个由多个相互联系的指标组成的多层次指标体系。</w:t>
      </w:r>
    </w:p>
    <w:p w14:paraId="28BF57A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3F1BC68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确定各个指标相对于项目总体绩效的权重分值。在绩效评价指标体系中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项目决策权重为20分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项目过程权重为20分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项目产出权重为40分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项目效益权重为20分。</w:t>
      </w:r>
    </w:p>
    <w:p w14:paraId="1AEDEAA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0B9DA75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指标标准值是绩效评价指标的尺度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既要反映同类项目的先进水平</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又要符合项目的实际绩效水平。具体采用计划标准等确定此次绩效评价指标标准值。</w:t>
      </w:r>
    </w:p>
    <w:p w14:paraId="54C5ACAE">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绩效评价总分值100分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根据综合评分结果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90（含）-100分为优、80（含）-90分为良、60（含）-80分为中、60分以下为差。</w:t>
      </w:r>
    </w:p>
    <w:p w14:paraId="6706F33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具体评价指标体系详情见附件1</w:t>
      </w:r>
    </w:p>
    <w:p w14:paraId="3D728EC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2B66ED4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绩效评价从项目决策、项目过程、项目产出、项目效益四个维度进行评价。评价对象为项目目标实施情况</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评价核心为资金的支出完成情况和项目的产出效益。</w:t>
      </w:r>
    </w:p>
    <w:p w14:paraId="4D5D42D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本次评价指标中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既有定性指标又有定量指标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各类指标因考核内容不同和客观标准不同存在较大差异</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因此核定具体指标时采用了不同方法</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具体评价方法如下：</w:t>
      </w:r>
    </w:p>
    <w:p w14:paraId="2BCF50A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一</w:t>
      </w:r>
      <w:r>
        <w:rPr>
          <w:rFonts w:hint="default" w:ascii="Times New Roman" w:hAnsi="Times New Roman" w:eastAsia="仿宋_GB2312" w:cs="Times New Roman"/>
          <w:sz w:val="32"/>
          <w:szCs w:val="32"/>
          <w:highlight w:val="none"/>
          <w:lang w:val="en-US" w:eastAsia="zh-CN"/>
        </w:rPr>
        <w:t>）因素分析法。是指综合分析影响绩效目标实现、实施效果的内外部因素的方法。</w:t>
      </w:r>
    </w:p>
    <w:p w14:paraId="4EEF18A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541DA8D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绩效评价标准通常包括计划标准、行业标准、历史标准等</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用于对绩效指标完成情况进行比较、分析、评价。本次评价主要采用了</w:t>
      </w:r>
      <w:r>
        <w:rPr>
          <w:rFonts w:hint="eastAsia" w:ascii="Times New Roman" w:hAnsi="Times New Roman" w:eastAsia="仿宋_GB2312" w:cs="Times New Roman"/>
          <w:sz w:val="32"/>
          <w:szCs w:val="32"/>
          <w:highlight w:val="none"/>
          <w:lang w:val="en-US" w:eastAsia="zh-CN"/>
        </w:rPr>
        <w:t>计划</w:t>
      </w:r>
      <w:r>
        <w:rPr>
          <w:rFonts w:hint="default" w:ascii="Times New Roman" w:hAnsi="Times New Roman" w:eastAsia="仿宋_GB2312" w:cs="Times New Roman"/>
          <w:sz w:val="32"/>
          <w:szCs w:val="32"/>
          <w:highlight w:val="none"/>
          <w:lang w:val="en-US" w:eastAsia="zh-CN"/>
        </w:rPr>
        <w:t>标准。</w:t>
      </w:r>
    </w:p>
    <w:p w14:paraId="30B9828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（1）计划标准。指以预先制定的目标、计划、预算、定额等作为评价标准。</w:t>
      </w:r>
    </w:p>
    <w:p w14:paraId="37E6EB5F">
      <w:pPr>
        <w:pStyle w:val="10"/>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25D8E6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4C2E540E">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在项目绩效评价工作启动之初</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成立了专门的评价工作小组</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小组成员由财务</w:t>
      </w:r>
      <w:r>
        <w:rPr>
          <w:rFonts w:hint="eastAsia" w:ascii="Times New Roman" w:hAnsi="Times New Roman" w:eastAsia="仿宋_GB2312" w:cs="Times New Roman"/>
          <w:sz w:val="32"/>
          <w:szCs w:val="32"/>
          <w:highlight w:val="none"/>
          <w:lang w:val="en-US" w:eastAsia="zh-CN"/>
        </w:rPr>
        <w:t>人员</w:t>
      </w:r>
      <w:r>
        <w:rPr>
          <w:rFonts w:hint="default" w:ascii="Times New Roman" w:hAnsi="Times New Roman" w:eastAsia="仿宋_GB2312" w:cs="Times New Roman"/>
          <w:sz w:val="32"/>
          <w:szCs w:val="32"/>
          <w:highlight w:val="none"/>
          <w:lang w:val="en-US" w:eastAsia="zh-CN"/>
        </w:rPr>
        <w:t>、项目管理专业人员及相关领域技术骨干组成</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确保从多角度、全方位对项目绩效进行评价。同时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明确了评价工作的目标、范围、重点及时间安排</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制定了详细的工作计划</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为评价工作的顺利开展奠定了坚实基础。</w:t>
      </w:r>
    </w:p>
    <w:p w14:paraId="133203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02C8C7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依据项目的性质、目标以及预期成果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构建了科学合理的绩效评价指标体系。该指标体系涵盖了项目决策、项目过程、项目产出、项目效益四个维度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选取了具有代表性和可衡量性的关键指标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并为每个指标设定了明确的评价标准与权重</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确保评价结果能够全面、准确地反映项目的绩效状况。</w:t>
      </w:r>
    </w:p>
    <w:p w14:paraId="197839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501A25C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广泛收集与项目相关的各类数据</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包括财务报表、项目文档、业务数据、用户反馈等。在数据收集过程中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注重数据的质量与完整性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对缺失或异常的数据进行了合理的处理和补充。随后</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对收集到的数据进行了系统的整理与分类</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为后续的数据分析提供了有力支持。</w:t>
      </w:r>
    </w:p>
    <w:p w14:paraId="26D5FE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33924A0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对收集到的数据进行了深入挖掘与分析。通过对各项绩效指标的实际完成情况与预期目标进行对比</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计算出指标的达成率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并结合指标权重进行综合评分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从而得出项目的整体绩效评价结果。在分析过程中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注重数据之间的关联性与逻辑性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深入剖析项目绩效背后的原因</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识别出项目实施过程中的优势与不足</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为提出有针对性的改进建议提供了依据。</w:t>
      </w:r>
    </w:p>
    <w:p w14:paraId="17EAC8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1BD8347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根据数据分析与评估的结果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按照统一的格式和规范撰写项目预算绩效评价报告。报告内容包括项目背景、评价目的、评价指标体系、数据收集与分析方法、绩效评价结果、存在问题与改进建议等多个部分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力求条理清晰、重点突出、语言简洁明了。在报告撰写完成后</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及时向项目实施主体及相关利益相关者进行反馈</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充分听取各方意见与建议</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对报告内容进行进一步的完善与优化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确保评价报告的质量与实用性。</w:t>
      </w:r>
    </w:p>
    <w:p w14:paraId="021C38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1D54BAD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在评价报告提交后</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我们将持续跟踪项目的改进措施落实情况</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定期对项目绩效进行复查与评估</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确保项目能够根据评价结果及时调整与优化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实现绩效的持续提升。同时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根据项目实施过程中出现的新情况、新问题</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适时调整绩效评价指标体系与方法</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保持评价工作的适应性与前瞻性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为项目的长期稳定发展提供有力保障。</w:t>
      </w:r>
    </w:p>
    <w:p w14:paraId="2064ED96">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71FBF077">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4FF018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中央农业农业资源及生态保护（草原生态补助奖励）资金在一般禁牧面积</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水源涵养区禁牧面积</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草畜平衡面积</w:t>
      </w:r>
      <w:r>
        <w:rPr>
          <w:rFonts w:hint="eastAsia" w:ascii="Times New Roman" w:hAnsi="Times New Roman" w:eastAsia="仿宋_GB2312" w:cs="Times New Roman"/>
          <w:sz w:val="32"/>
          <w:szCs w:val="32"/>
          <w:highlight w:val="none"/>
          <w:lang w:val="en-US" w:eastAsia="zh-CN"/>
        </w:rPr>
        <w:t>补助</w:t>
      </w:r>
      <w:r>
        <w:rPr>
          <w:rFonts w:hint="default" w:ascii="Times New Roman" w:hAnsi="Times New Roman" w:eastAsia="仿宋_GB2312" w:cs="Times New Roman"/>
          <w:sz w:val="32"/>
          <w:szCs w:val="32"/>
          <w:highlight w:val="none"/>
          <w:lang w:val="en-US" w:eastAsia="zh-CN"/>
        </w:rPr>
        <w:t>等方面表现出色</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达到了预期的标准与要求。同时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项目也在</w:t>
      </w:r>
      <w:r>
        <w:rPr>
          <w:rFonts w:hint="eastAsia" w:ascii="Times New Roman" w:hAnsi="Times New Roman" w:eastAsia="仿宋_GB2312" w:cs="Times New Roman"/>
          <w:sz w:val="32"/>
          <w:szCs w:val="32"/>
          <w:highlight w:val="none"/>
          <w:lang w:val="en-US" w:eastAsia="zh-CN"/>
        </w:rPr>
        <w:t>实施过程中</w:t>
      </w:r>
      <w:r>
        <w:rPr>
          <w:rFonts w:hint="default" w:ascii="Times New Roman" w:hAnsi="Times New Roman" w:eastAsia="仿宋_GB2312" w:cs="Times New Roman"/>
          <w:sz w:val="32"/>
          <w:szCs w:val="32"/>
          <w:highlight w:val="none"/>
          <w:lang w:val="en-US" w:eastAsia="zh-CN"/>
        </w:rPr>
        <w:t>取得了显著的成效</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如提高草原植被恢复程度、提高农牧民对生态环境的保护意识等。</w:t>
      </w:r>
    </w:p>
    <w:p w14:paraId="09A3372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在项目管理方面</w:t>
      </w:r>
      <w:r>
        <w:rPr>
          <w:rFonts w:hint="eastAsia" w:ascii="Times New Roman" w:hAnsi="Times New Roman" w:eastAsia="仿宋_GB2312" w:cs="Times New Roman"/>
          <w:sz w:val="32"/>
          <w:szCs w:val="32"/>
          <w:highlight w:val="none"/>
          <w:lang w:val="en-US" w:eastAsia="zh-CN"/>
        </w:rPr>
        <w:t>，裕民县畜牧兽医局</w:t>
      </w:r>
      <w:r>
        <w:rPr>
          <w:rFonts w:hint="default" w:ascii="Times New Roman" w:hAnsi="Times New Roman" w:eastAsia="仿宋_GB2312" w:cs="Times New Roman"/>
          <w:sz w:val="32"/>
          <w:szCs w:val="32"/>
          <w:highlight w:val="none"/>
          <w:lang w:val="en-US" w:eastAsia="zh-CN"/>
        </w:rPr>
        <w:t>通过有效的规划、组织与协调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项目得以顺利实施</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并在预算与时间上保持了良好的控制。</w:t>
      </w:r>
    </w:p>
    <w:p w14:paraId="5CAB579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从项目效益的角度来看</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本项目不仅实现了预期的社会效益、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效益等方面产生了积极的影响。具体而言</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提高草原植被恢复程度、提高农牧民对生态环境的保护意识等方面的提升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为项目的利益相关者带来了实实在在的利益。</w:t>
      </w:r>
    </w:p>
    <w:p w14:paraId="6675C31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综上所述</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中央农业农业资源及生态保护（草原生态补助奖励）资金</w:t>
      </w:r>
      <w:r>
        <w:rPr>
          <w:rFonts w:hint="eastAsia"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在绩效评价中表现出色</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达到了项目的预期目标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并在多个方面取得了显著的成效。</w:t>
      </w:r>
    </w:p>
    <w:p w14:paraId="129C9DFB">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751F688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运用绩效评价组制定的评价指标体系以及财政部《项目支出绩效评价管理办法》（财预〔2020〕10号）文件的评分标准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通过数据采集、问卷调查及访谈等方式</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对本项目进行客观评价</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 xml:space="preserve">最终评分结果：总得分为 </w:t>
      </w:r>
      <w:r>
        <w:rPr>
          <w:rFonts w:hint="eastAsia" w:ascii="Times New Roman" w:hAnsi="Times New Roman" w:eastAsia="仿宋_GB2312" w:cs="Times New Roman"/>
          <w:sz w:val="32"/>
          <w:szCs w:val="32"/>
          <w:highlight w:val="none"/>
          <w:lang w:val="en-US" w:eastAsia="zh-CN"/>
        </w:rPr>
        <w:t>99.86</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属于“优（良/中/差）”。其中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项目决策类指标权重为20分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 xml:space="preserve">得分为 </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 xml:space="preserve">得分率为 </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%。项目过程类指标权重为20分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得分为</w:t>
      </w:r>
      <w:r>
        <w:rPr>
          <w:rFonts w:hint="eastAsia" w:ascii="Times New Roman" w:hAnsi="Times New Roman" w:eastAsia="仿宋_GB2312" w:cs="Times New Roman"/>
          <w:sz w:val="32"/>
          <w:szCs w:val="32"/>
          <w:highlight w:val="none"/>
          <w:lang w:val="en-US" w:eastAsia="zh-CN"/>
        </w:rPr>
        <w:t>19.98</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得分率为</w:t>
      </w:r>
      <w:r>
        <w:rPr>
          <w:rFonts w:hint="eastAsia" w:ascii="Times New Roman" w:hAnsi="Times New Roman" w:eastAsia="仿宋_GB2312" w:cs="Times New Roman"/>
          <w:sz w:val="32"/>
          <w:szCs w:val="32"/>
          <w:highlight w:val="none"/>
          <w:lang w:val="en-US" w:eastAsia="zh-CN"/>
        </w:rPr>
        <w:t>99.49</w:t>
      </w:r>
      <w:r>
        <w:rPr>
          <w:rFonts w:hint="default" w:ascii="Times New Roman" w:hAnsi="Times New Roman" w:eastAsia="仿宋_GB2312" w:cs="Times New Roman"/>
          <w:sz w:val="32"/>
          <w:szCs w:val="32"/>
          <w:highlight w:val="none"/>
          <w:lang w:val="en-US" w:eastAsia="zh-CN"/>
        </w:rPr>
        <w:t>%。项目产出类指标权重为</w:t>
      </w:r>
      <w:r>
        <w:rPr>
          <w:rFonts w:hint="eastAsia" w:ascii="Times New Roman" w:hAnsi="Times New Roman"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得分为</w:t>
      </w:r>
      <w:r>
        <w:rPr>
          <w:rFonts w:hint="eastAsia" w:ascii="Times New Roman" w:hAnsi="Times New Roman" w:eastAsia="仿宋_GB2312" w:cs="Times New Roman"/>
          <w:sz w:val="32"/>
          <w:szCs w:val="32"/>
          <w:highlight w:val="none"/>
          <w:lang w:val="en-US" w:eastAsia="zh-CN"/>
        </w:rPr>
        <w:t>39.88</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 xml:space="preserve">得分率为 </w:t>
      </w:r>
      <w:r>
        <w:rPr>
          <w:rFonts w:hint="eastAsia" w:ascii="Times New Roman" w:hAnsi="Times New Roman" w:eastAsia="仿宋_GB2312" w:cs="Times New Roman"/>
          <w:sz w:val="32"/>
          <w:szCs w:val="32"/>
          <w:highlight w:val="none"/>
          <w:lang w:val="en-US" w:eastAsia="zh-CN"/>
        </w:rPr>
        <w:t>99.7</w:t>
      </w:r>
      <w:r>
        <w:rPr>
          <w:rFonts w:hint="default" w:ascii="Times New Roman" w:hAnsi="Times New Roman" w:eastAsia="仿宋_GB2312" w:cs="Times New Roman"/>
          <w:sz w:val="32"/>
          <w:szCs w:val="32"/>
          <w:highlight w:val="none"/>
          <w:lang w:val="en-US" w:eastAsia="zh-CN"/>
        </w:rPr>
        <w:t>%。项目效益类指标权重为20分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得分为</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%。具体打分情况详见：附件1综合评分表。</w:t>
      </w:r>
    </w:p>
    <w:p w14:paraId="2B4FC39A">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3"/>
        <w:tblW w:w="8760" w:type="dxa"/>
        <w:jc w:val="center"/>
        <w:tblLayout w:type="fixed"/>
        <w:tblCellMar>
          <w:top w:w="0" w:type="dxa"/>
          <w:left w:w="108" w:type="dxa"/>
          <w:bottom w:w="0" w:type="dxa"/>
          <w:right w:w="108" w:type="dxa"/>
        </w:tblCellMar>
      </w:tblPr>
      <w:tblGrid>
        <w:gridCol w:w="2787"/>
        <w:gridCol w:w="1927"/>
        <w:gridCol w:w="2023"/>
        <w:gridCol w:w="2023"/>
      </w:tblGrid>
      <w:tr w14:paraId="70F27749">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2C42CAE1">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64A1B16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7F3C32D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657D305A">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4009CBB9">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3298B6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39B7AEB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D21E01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4C329F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3389B08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D92296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5F89D78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4EEE76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19.98</w:t>
            </w:r>
          </w:p>
        </w:tc>
        <w:tc>
          <w:tcPr>
            <w:tcW w:w="2023" w:type="dxa"/>
            <w:tcBorders>
              <w:top w:val="nil"/>
              <w:left w:val="nil"/>
              <w:bottom w:val="single" w:color="auto" w:sz="4" w:space="0"/>
              <w:right w:val="single" w:color="auto" w:sz="4" w:space="0"/>
            </w:tcBorders>
            <w:shd w:val="clear" w:color="auto" w:fill="auto"/>
            <w:vAlign w:val="center"/>
          </w:tcPr>
          <w:p w14:paraId="6D45C05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99.49%</w:t>
            </w:r>
          </w:p>
        </w:tc>
      </w:tr>
      <w:tr w14:paraId="675BC54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4A3663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622505A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478A253">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39.88</w:t>
            </w:r>
          </w:p>
        </w:tc>
        <w:tc>
          <w:tcPr>
            <w:tcW w:w="2023" w:type="dxa"/>
            <w:tcBorders>
              <w:top w:val="nil"/>
              <w:left w:val="nil"/>
              <w:bottom w:val="single" w:color="auto" w:sz="4" w:space="0"/>
              <w:right w:val="single" w:color="auto" w:sz="4" w:space="0"/>
            </w:tcBorders>
            <w:shd w:val="clear" w:color="auto" w:fill="auto"/>
            <w:vAlign w:val="center"/>
          </w:tcPr>
          <w:p w14:paraId="2060EE5A">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99.7%</w:t>
            </w:r>
          </w:p>
        </w:tc>
      </w:tr>
      <w:tr w14:paraId="2AE8D50B">
        <w:tblPrEx>
          <w:tblCellMar>
            <w:top w:w="0" w:type="dxa"/>
            <w:left w:w="108" w:type="dxa"/>
            <w:bottom w:w="0" w:type="dxa"/>
            <w:right w:w="108" w:type="dxa"/>
          </w:tblCellMar>
        </w:tblPrEx>
        <w:trPr>
          <w:trHeight w:val="9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1E47AB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31B7FA2F">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B8AE1D3">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77272EA">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0000B17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A5CCD2D">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02D12FBC">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632697D">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99.86</w:t>
            </w:r>
          </w:p>
        </w:tc>
        <w:tc>
          <w:tcPr>
            <w:tcW w:w="2023" w:type="dxa"/>
            <w:tcBorders>
              <w:top w:val="nil"/>
              <w:left w:val="nil"/>
              <w:bottom w:val="single" w:color="auto" w:sz="4" w:space="0"/>
              <w:right w:val="single" w:color="auto" w:sz="4" w:space="0"/>
            </w:tcBorders>
            <w:shd w:val="clear" w:color="auto" w:fill="auto"/>
            <w:vAlign w:val="center"/>
          </w:tcPr>
          <w:p w14:paraId="719B1D90">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99.86%</w:t>
            </w:r>
          </w:p>
        </w:tc>
      </w:tr>
    </w:tbl>
    <w:p w14:paraId="1D200BDD">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3D34A377">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170C3E7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由6个三级指标构成</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权重分值为20分</w:t>
      </w:r>
      <w:r>
        <w:rPr>
          <w:rFonts w:hint="eastAsia" w:ascii="Times New Roman" w:hAnsi="Times New Roman" w:eastAsia="仿宋_GB2312" w:cs="Times New Roman"/>
          <w:sz w:val="32"/>
          <w:szCs w:val="32"/>
          <w:highlight w:val="none"/>
          <w:lang w:val="en-US" w:eastAsia="zh-CN"/>
        </w:rPr>
        <w:tab/>
      </w:r>
    </w:p>
    <w:p w14:paraId="183B952F">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06DA0CC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75DA219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塔地财农[2023]28号裕财农[2023]25号提前下达2024年中央农业农业资源及生态保护（草原生态补助奖励）资金</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符合行业规划要求</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围绕本年度工作重点和工作计划制定经费预算</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属于公共财政支持范围。本项目与部门内部其他相关项目不重复。部门发展规划及职能文件等归档完整。</w:t>
      </w:r>
    </w:p>
    <w:p w14:paraId="53797DF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6A14E17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项目申请、设立过程符合相关要求</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经过与部门项目分管领导沟通、筛选确定经费预算计划</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确定最终预算方案。项目的审批文件、材料符合相关要求</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项目事前经过必要的可行性研究、专家论证、风险评估、绩效评估、集体决策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保障了程序的规范性。</w:t>
      </w:r>
    </w:p>
    <w:p w14:paraId="1176B46D">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06FB4AA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76BE8D4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符合客观实际</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能反映和考核项目绩效目标与项目实施的相符情况</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依据绩效目标设定的绩效指标清晰、细化、可衡量</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能反映和考核项目绩效目标的明细化情况。绩效目标表经过审核</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绩效目标与实际工作内容具有相关性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预算与确定的项目投资额相匹配</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对项目任务进行了详细分解。项目预期产出效益及效果符合正常的业绩水平。</w:t>
      </w:r>
    </w:p>
    <w:p w14:paraId="2198E4B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6F5C6E5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将绩效目标细化分解为具体的绩效指标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绩效目标与项目目标任务数相对应</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绩效目标设定的绩效指标清晰、细化、可衡量。</w:t>
      </w:r>
    </w:p>
    <w:p w14:paraId="5DE5D647">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7128CDC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7EC324E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本项目的预算编制过程严谨、科学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充分体现了精细化管理的要求。预算编制之初</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进行了全面的成本估算</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确保项目所需的各项资源得到合理的预估与分配。同时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预算编制还紧密结合了项目的特点与实际情况</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对不同阶段、不同任务的资金需求进行了详细的分析与计算。</w:t>
      </w:r>
    </w:p>
    <w:p w14:paraId="0F07837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在预算编制过程中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还注重了成本控制与效益最大化的原则。通过优化资源配置、提高资金使用效率等措施</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确保项目在有限的预算内取得最大的经济效益与社会效益。此外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预算编制还充分考虑了风险因素</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对可能出现的超支情况进行了预留与规划</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以应对项目实施过程中的不确定性。</w:t>
      </w:r>
    </w:p>
    <w:p w14:paraId="1211100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28A0D37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本项目的资金分配遵循了公平、公正、透明的原则</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确保了项目资源的合理配置与高效利用。在资金分配过程中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我们充分考虑了项目的实际需求与目标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对不同阶段、不同任务的资金进行了科学的规划与安排。</w:t>
      </w:r>
    </w:p>
    <w:p w14:paraId="5171079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具体而言</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资金分配紧密结合了项目的特点与实际情况</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对关键领域与重要环节给予了重点支持。同时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我们也注重了资金的均衡分配</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避免了资源浪费与资金闲置。此外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资金分配还充分考虑了风险因素</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对可能出现的超支情况进行了预留与调整。</w:t>
      </w:r>
    </w:p>
    <w:p w14:paraId="4DBF7E8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综上所述</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本项目的资金分配是合理的、科学的</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既符合项目的实际情况</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又满足了资金使用的效益最大化要求。资金分配的合理性为项目的成功实施提供了有力的保障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也为项目的绩效评价奠定了坚实的基础。</w:t>
      </w:r>
    </w:p>
    <w:p w14:paraId="735EE92B">
      <w:pPr>
        <w:pStyle w:val="10"/>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5B48B0F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由5个三级指标构成</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权重分值为20分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实际得分</w:t>
      </w:r>
      <w:r>
        <w:rPr>
          <w:rFonts w:hint="eastAsia" w:ascii="Times New Roman" w:hAnsi="Times New Roman" w:eastAsia="仿宋_GB2312" w:cs="Times New Roman"/>
          <w:sz w:val="32"/>
          <w:szCs w:val="32"/>
          <w:highlight w:val="none"/>
          <w:lang w:val="en-US" w:eastAsia="zh-CN"/>
        </w:rPr>
        <w:t>19.98</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得分率为</w:t>
      </w:r>
      <w:r>
        <w:rPr>
          <w:rFonts w:hint="eastAsia" w:ascii="Times New Roman" w:hAnsi="Times New Roman" w:eastAsia="仿宋_GB2312" w:cs="Times New Roman"/>
          <w:sz w:val="32"/>
          <w:szCs w:val="32"/>
          <w:highlight w:val="none"/>
          <w:lang w:val="en-US" w:eastAsia="zh-CN"/>
        </w:rPr>
        <w:t>99.49</w:t>
      </w:r>
      <w:r>
        <w:rPr>
          <w:rFonts w:hint="default" w:ascii="Times New Roman" w:hAnsi="Times New Roman" w:eastAsia="仿宋_GB2312" w:cs="Times New Roman"/>
          <w:sz w:val="32"/>
          <w:szCs w:val="32"/>
          <w:highlight w:val="none"/>
          <w:lang w:val="en-US" w:eastAsia="zh-CN"/>
        </w:rPr>
        <w:t>%。</w:t>
      </w:r>
    </w:p>
    <w:p w14:paraId="12DF98DB">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369E847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52DD726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ascii="Times New Roman" w:hAnsi="Times New Roman" w:eastAsia="仿宋_GB2312" w:cs="Times New Roman"/>
          <w:sz w:val="32"/>
          <w:szCs w:val="32"/>
          <w:highlight w:val="none"/>
          <w:lang w:val="en-US" w:eastAsia="zh-CN"/>
        </w:rPr>
        <w:t>2491.58</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财政资金及时足额到位</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到位率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预算资金按计划进度执行。</w:t>
      </w:r>
    </w:p>
    <w:p w14:paraId="1E3AE61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5FDA593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项目资金支出总体能够按照预算执行</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预算资金支出</w:t>
      </w:r>
      <w:r>
        <w:rPr>
          <w:rFonts w:hint="eastAsia" w:ascii="Times New Roman" w:hAnsi="Times New Roman" w:eastAsia="仿宋_GB2312" w:cs="Times New Roman"/>
          <w:sz w:val="32"/>
          <w:szCs w:val="32"/>
          <w:highlight w:val="none"/>
          <w:lang w:val="en-US" w:eastAsia="zh-CN"/>
        </w:rPr>
        <w:t>2476.92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预算执行率为</w:t>
      </w:r>
      <w:r>
        <w:rPr>
          <w:rFonts w:hint="eastAsia" w:ascii="Times New Roman" w:hAnsi="Times New Roman" w:eastAsia="仿宋_GB2312" w:cs="Times New Roman"/>
          <w:sz w:val="32"/>
          <w:szCs w:val="32"/>
          <w:highlight w:val="none"/>
          <w:lang w:val="en-US" w:eastAsia="zh-CN"/>
        </w:rPr>
        <w:t>99.41</w:t>
      </w:r>
      <w:r>
        <w:rPr>
          <w:rFonts w:hint="default" w:ascii="Times New Roman" w:hAnsi="Times New Roman" w:eastAsia="仿宋_GB2312" w:cs="Times New Roman"/>
          <w:sz w:val="32"/>
          <w:szCs w:val="32"/>
          <w:highlight w:val="none"/>
          <w:lang w:val="en-US" w:eastAsia="zh-CN"/>
        </w:rPr>
        <w:t>%。</w:t>
      </w:r>
    </w:p>
    <w:p w14:paraId="3C3318A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2C8A385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本项目的资金使用严格遵循了国家相关法律法规与财务制度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确保了资金的合规性与安全性。在资金使用过程中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我们建立了完善的财务管理体系</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对资金的流动进行了全程监控与记录。</w:t>
      </w:r>
    </w:p>
    <w:p w14:paraId="53CC14F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具体而言</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资金使用坚持了专款专用的原则</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确保了项目资金不被挪用或截留。同时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我们还加强了对资金使用的审计与监督</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定期对财务收支进行自查与自纠</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及时发现并纠正可能存在的问题。此外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资金使用还充分考虑了成本效益原则</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通过优化资源配置、提高资金使用效率等措施</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确保了项目资金的最大化利用。</w:t>
      </w:r>
    </w:p>
    <w:p w14:paraId="6E9E4AA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综上所述</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本项目的资金使用是合规的、安全的</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既符合国家相关法律法规与财务制度的要求</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又满足了项目实施的实际需要。资金使用的合规性为项目的成功实施提供了有力的保障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也为项目的绩效评价奠定了坚实的基础。</w:t>
      </w:r>
    </w:p>
    <w:p w14:paraId="7FE58E4E">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10AFF23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4AAB024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本项目拥有一套完善、健全的管理制度体系</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为项目的成功实施提供了坚实的制度保障。项目管理制度的制定紧密结合了项目的特点与实际情况</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涵盖了项目的策划、组织、实施、监控与收尾等各个环节。</w:t>
      </w:r>
    </w:p>
    <w:p w14:paraId="278222A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在制度设计上</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我们注重了制度的科学性与可操作性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确保制度能够切实指导项目的执行与管理。</w:t>
      </w:r>
    </w:p>
    <w:p w14:paraId="7E519A8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此外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项目管理制度还充分考虑了风险因素</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制定了相应的风险应对措施与预案</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以应对项目实施过程中可能出现的各种风险与挑战。管理制度的健全性不仅体现在制度的完善上</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还体现在制度的执行与监督上。我们建立了有效的监督机制与反馈机制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对项目的实施情况进行定期检查与评估</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及时发现并纠正可能存在的问题。</w:t>
      </w:r>
    </w:p>
    <w:p w14:paraId="3684618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综上所述</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本项目的管理制度是健全的、有效的</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既符合项目的实际情况</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又满足了项目管理的需要。管理制度的健全性为项目的成功实施提供了有力的保障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也为项目的绩效评价奠定了坚实的基础。</w:t>
      </w:r>
    </w:p>
    <w:p w14:paraId="4776784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237E744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本项目在执行过程中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管理制度得到了全面、有效的落实</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为确保项目的顺利实施与目标实现提供了坚实的保障。项目单位重视制度执行的重要性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通过明确责任分工、制定详细执行计划、加强监督考核等措施</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确保了各项管理制度能够得到有效执行。</w:t>
      </w:r>
    </w:p>
    <w:p w14:paraId="37EB7F6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在具体执行过程中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项目团队成员严格按照制度要求进行操作。同时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我们还建立了有效的沟通机制与反馈机制</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确保项目信息的及时传递与问题的及时解决</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进一步提高了制度执行的效率与效果。</w:t>
      </w:r>
    </w:p>
    <w:p w14:paraId="330733E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综上所述</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本项目的管理制度在执行过程中表现出了高度的有效性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既确保了项目的顺利进行</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又实现了项目目标的有效达成。</w:t>
      </w:r>
    </w:p>
    <w:p w14:paraId="68524C84">
      <w:pPr>
        <w:pStyle w:val="11"/>
        <w:numPr>
          <w:ilvl w:val="0"/>
          <w:numId w:val="5"/>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2F3202E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由</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个三级指标构成</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权重分为40分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实际得分</w:t>
      </w:r>
      <w:r>
        <w:rPr>
          <w:rFonts w:hint="eastAsia" w:ascii="Times New Roman" w:hAnsi="Times New Roman" w:eastAsia="仿宋_GB2312" w:cs="Times New Roman"/>
          <w:sz w:val="32"/>
          <w:szCs w:val="32"/>
          <w:highlight w:val="none"/>
          <w:lang w:val="en-US" w:eastAsia="zh-CN"/>
        </w:rPr>
        <w:t>39.88</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得分率为</w:t>
      </w:r>
      <w:r>
        <w:rPr>
          <w:rFonts w:hint="eastAsia" w:ascii="Times New Roman" w:hAnsi="Times New Roman" w:eastAsia="仿宋_GB2312" w:cs="Times New Roman"/>
          <w:sz w:val="32"/>
          <w:szCs w:val="32"/>
          <w:highlight w:val="none"/>
          <w:lang w:val="en-US" w:eastAsia="zh-CN"/>
        </w:rPr>
        <w:t>99.7</w:t>
      </w:r>
      <w:r>
        <w:rPr>
          <w:rFonts w:hint="default" w:ascii="Times New Roman" w:hAnsi="Times New Roman" w:eastAsia="仿宋_GB2312" w:cs="Times New Roman"/>
          <w:sz w:val="32"/>
          <w:szCs w:val="32"/>
          <w:highlight w:val="none"/>
          <w:lang w:val="en-US" w:eastAsia="zh-CN"/>
        </w:rPr>
        <w:t>%。具体产出指标完成情况如下：</w:t>
      </w:r>
    </w:p>
    <w:p w14:paraId="78B880C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1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数量指标：</w:t>
      </w:r>
    </w:p>
    <w:p w14:paraId="0D1A49B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指标1：一般禁牧面积</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指标值：108.19万亩</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实际完成值：113.16万亩</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指标完成率104.59%。</w:t>
      </w:r>
    </w:p>
    <w:p w14:paraId="52654B8E">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：水源涵养区禁牧面积</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指标值：10万亩</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实际完成值：9.83万亩</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指标完成率98.3%。</w:t>
      </w:r>
    </w:p>
    <w:p w14:paraId="208B5776">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：草畜平衡面积</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指标值：536.97万亩</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实际完成值：535.56万亩</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指标完成率99.74%。</w:t>
      </w:r>
    </w:p>
    <w:p w14:paraId="0240D8D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2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质量指标：</w:t>
      </w:r>
    </w:p>
    <w:p w14:paraId="40E94B2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指标：资金发放率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99.41%，</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99.41%</w:t>
      </w:r>
      <w:r>
        <w:rPr>
          <w:rFonts w:hint="default" w:ascii="Times New Roman" w:hAnsi="Times New Roman" w:eastAsia="仿宋_GB2312" w:cs="Times New Roman"/>
          <w:sz w:val="32"/>
          <w:szCs w:val="32"/>
          <w:highlight w:val="none"/>
          <w:lang w:val="en-US" w:eastAsia="zh-CN"/>
        </w:rPr>
        <w:t>。</w:t>
      </w:r>
    </w:p>
    <w:p w14:paraId="6D1EE4E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3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③</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时效指标：</w:t>
      </w:r>
    </w:p>
    <w:p w14:paraId="39A65F51">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指标1：生态效益补偿任务完成及时率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2BB47CC8">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项目完成时限，</w:t>
      </w:r>
      <w:r>
        <w:rPr>
          <w:rFonts w:hint="default" w:ascii="Times New Roman" w:hAnsi="Times New Roman" w:eastAsia="仿宋_GB2312" w:cs="Times New Roman"/>
          <w:sz w:val="32"/>
          <w:szCs w:val="32"/>
          <w:highlight w:val="none"/>
          <w:lang w:val="en-US" w:eastAsia="zh-CN"/>
        </w:rPr>
        <w:t>指标值：2024年10月31日前</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实际完成值：2024年10月31日</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2B5208E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4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④</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成本指标：</w:t>
      </w:r>
    </w:p>
    <w:p w14:paraId="2FE2654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指标1：一般禁牧补助成本</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指标值：&lt;=649.14万元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实际完成值：646.74万元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99.63</w:t>
      </w:r>
      <w:r>
        <w:rPr>
          <w:rFonts w:hint="default" w:ascii="Times New Roman" w:hAnsi="Times New Roman" w:eastAsia="仿宋_GB2312" w:cs="Times New Roman"/>
          <w:sz w:val="32"/>
          <w:szCs w:val="32"/>
          <w:highlight w:val="none"/>
          <w:lang w:val="en-US" w:eastAsia="zh-CN"/>
        </w:rPr>
        <w:t>%。</w:t>
      </w:r>
    </w:p>
    <w:p w14:paraId="294A7CE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：水源涵养区禁牧补助成本</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指标值：&lt;=500万元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实际完成值：491.29万元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指标完成率98.26%。</w:t>
      </w:r>
    </w:p>
    <w:p w14:paraId="3DF7E4C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：草畜平衡补助成本</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指标值&lt;=1342.44万元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实际完成值：1338.89万元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指标完成率99.74%。</w:t>
      </w:r>
    </w:p>
    <w:p w14:paraId="3CD3EA4A">
      <w:pPr>
        <w:pStyle w:val="11"/>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4AA05DE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由</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权重分为20分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4937B5A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341E2F4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①社会效益指标：</w:t>
      </w:r>
    </w:p>
    <w:p w14:paraId="0990C3D1">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指标1：提高农牧民对生态环境的保护意识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有所提高，</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有所提高，</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062022D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lang w:val="en-US" w:eastAsia="zh-CN"/>
        </w:rPr>
        <w:t>生态效益指标：</w:t>
      </w:r>
    </w:p>
    <w:p w14:paraId="643027EA">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：提高草原植被恢复程度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效果显著，</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效果显著，</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79A88DE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15F98578">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指标1：受益牧民满意度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0AD02760">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0A037FA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中央农业农业资源及生态保护（草原生态补助奖励）资金项目年初预算</w:t>
      </w:r>
      <w:r>
        <w:rPr>
          <w:rFonts w:hint="eastAsia" w:ascii="Times New Roman" w:hAnsi="Times New Roman" w:eastAsia="仿宋_GB2312" w:cs="Times New Roman"/>
          <w:sz w:val="32"/>
          <w:szCs w:val="32"/>
          <w:highlight w:val="none"/>
          <w:lang w:val="en-US" w:eastAsia="zh-CN"/>
        </w:rPr>
        <w:t>2491.58</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全年预算</w:t>
      </w:r>
      <w:r>
        <w:rPr>
          <w:rFonts w:hint="eastAsia" w:ascii="Times New Roman" w:hAnsi="Times New Roman" w:eastAsia="仿宋_GB2312" w:cs="Times New Roman"/>
          <w:sz w:val="32"/>
          <w:szCs w:val="32"/>
          <w:highlight w:val="none"/>
          <w:lang w:val="en-US" w:eastAsia="zh-CN"/>
        </w:rPr>
        <w:t>2491.58</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实际支出</w:t>
      </w:r>
      <w:r>
        <w:rPr>
          <w:rFonts w:hint="eastAsia" w:ascii="Times New Roman" w:hAnsi="Times New Roman" w:eastAsia="仿宋_GB2312" w:cs="Times New Roman"/>
          <w:sz w:val="32"/>
          <w:szCs w:val="32"/>
          <w:highlight w:val="none"/>
          <w:lang w:val="en-US" w:eastAsia="zh-CN"/>
        </w:rPr>
        <w:t>2476.92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预算执行率为</w:t>
      </w:r>
      <w:r>
        <w:rPr>
          <w:rFonts w:hint="eastAsia" w:ascii="Times New Roman" w:hAnsi="Times New Roman" w:eastAsia="仿宋_GB2312" w:cs="Times New Roman"/>
          <w:sz w:val="32"/>
          <w:szCs w:val="32"/>
          <w:highlight w:val="none"/>
          <w:lang w:val="en-US" w:eastAsia="zh-CN"/>
        </w:rPr>
        <w:t>99.41</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项目绩效指标总体完成率为</w:t>
      </w:r>
      <w:r>
        <w:rPr>
          <w:rFonts w:hint="eastAsia" w:ascii="Times New Roman" w:hAnsi="Times New Roman" w:eastAsia="仿宋_GB2312" w:cs="Times New Roman"/>
          <w:sz w:val="32"/>
          <w:szCs w:val="32"/>
          <w:highlight w:val="none"/>
          <w:lang w:val="en-US" w:eastAsia="zh-CN"/>
        </w:rPr>
        <w:t>99.97</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总体</w:t>
      </w:r>
      <w:r>
        <w:rPr>
          <w:rFonts w:hint="default" w:ascii="Times New Roman" w:hAnsi="Times New Roman" w:eastAsia="仿宋_GB2312" w:cs="Times New Roman"/>
          <w:sz w:val="32"/>
          <w:szCs w:val="32"/>
          <w:highlight w:val="none"/>
          <w:lang w:val="en-US" w:eastAsia="zh-CN"/>
        </w:rPr>
        <w:t>偏差率为</w:t>
      </w:r>
      <w:r>
        <w:rPr>
          <w:rFonts w:hint="eastAsia" w:ascii="Times New Roman" w:hAnsi="Times New Roman" w:eastAsia="仿宋_GB2312" w:cs="Times New Roman"/>
          <w:sz w:val="32"/>
          <w:szCs w:val="32"/>
          <w:highlight w:val="none"/>
          <w:lang w:val="en-US" w:eastAsia="zh-CN"/>
        </w:rPr>
        <w:t>0.03</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偏差</w:t>
      </w:r>
      <w:r>
        <w:rPr>
          <w:rFonts w:hint="default" w:ascii="Times New Roman" w:hAnsi="Times New Roman" w:eastAsia="仿宋_GB2312" w:cs="Times New Roman"/>
          <w:sz w:val="32"/>
          <w:szCs w:val="32"/>
          <w:highlight w:val="none"/>
          <w:lang w:val="en-US" w:eastAsia="zh-CN"/>
        </w:rPr>
        <w:t>原因</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20%以内属于正常偏差。</w:t>
      </w:r>
      <w:r>
        <w:rPr>
          <w:rFonts w:hint="default" w:ascii="Times New Roman" w:hAnsi="Times New Roman" w:eastAsia="仿宋_GB2312" w:cs="Times New Roman"/>
          <w:sz w:val="32"/>
          <w:szCs w:val="32"/>
          <w:highlight w:val="none"/>
          <w:lang w:val="en-US"/>
        </w:rPr>
        <w:t>改进</w:t>
      </w:r>
      <w:r>
        <w:rPr>
          <w:rFonts w:hint="default" w:ascii="Times New Roman" w:hAnsi="Times New Roman" w:eastAsia="仿宋_GB2312" w:cs="Times New Roman"/>
          <w:sz w:val="32"/>
          <w:szCs w:val="32"/>
          <w:highlight w:val="none"/>
          <w:lang w:val="en-US" w:eastAsia="zh-CN"/>
        </w:rPr>
        <w:t>措施</w:t>
      </w:r>
      <w:r>
        <w:rPr>
          <w:rFonts w:hint="eastAsia" w:ascii="Times New Roman" w:hAnsi="Times New Roman" w:eastAsia="仿宋_GB2312" w:cs="Times New Roman"/>
          <w:sz w:val="32"/>
          <w:szCs w:val="32"/>
          <w:highlight w:val="none"/>
          <w:lang w:val="en-US" w:eastAsia="zh-CN"/>
        </w:rPr>
        <w:t>：严格按照项目管理规范进行，保障项目能够按照计划实施</w:t>
      </w:r>
      <w:r>
        <w:rPr>
          <w:rFonts w:hint="default" w:ascii="Times New Roman" w:hAnsi="Times New Roman" w:eastAsia="仿宋_GB2312" w:cs="Times New Roman"/>
          <w:sz w:val="32"/>
          <w:szCs w:val="32"/>
          <w:highlight w:val="none"/>
          <w:lang w:val="en-US" w:eastAsia="zh-CN"/>
        </w:rPr>
        <w:t>。</w:t>
      </w:r>
    </w:p>
    <w:p w14:paraId="6C79A9DF">
      <w:pPr>
        <w:spacing w:line="560" w:lineRule="exact"/>
        <w:ind w:firstLine="640" w:firstLineChars="200"/>
        <w:rPr>
          <w:rStyle w:val="20"/>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31BD62A9">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32AE157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为确保项目顺利进行</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提前做好项目规划</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将所列计划再三审核。在项目实施过程中做好定期监督检查</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严格按照项目管理规范进行</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在项目资金使用过程中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严格落实把关</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按照项目资金使用范围做好审核工作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让项目资金落于实处。在项目完成后</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做好受益群众民意调查及项目防范工作。</w:t>
      </w:r>
    </w:p>
    <w:p w14:paraId="72A1DD4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严格坚持先做事、后验收、再拨付的原则</w:t>
      </w:r>
      <w:r>
        <w:rPr>
          <w:rFonts w:hint="eastAsia" w:ascii="Times New Roman" w:hAnsi="Times New Roman" w:eastAsia="仿宋_GB2312" w:cs="Times New Roman"/>
          <w:sz w:val="32"/>
          <w:szCs w:val="32"/>
          <w:highlight w:val="none"/>
          <w:lang w:val="en-US" w:eastAsia="zh-CN"/>
        </w:rPr>
        <w:t>，杜绝</w:t>
      </w:r>
      <w:r>
        <w:rPr>
          <w:rFonts w:hint="default" w:ascii="Times New Roman" w:hAnsi="Times New Roman" w:eastAsia="仿宋_GB2312" w:cs="Times New Roman"/>
          <w:sz w:val="32"/>
          <w:szCs w:val="32"/>
          <w:highlight w:val="none"/>
          <w:lang w:val="en-US" w:eastAsia="zh-CN"/>
        </w:rPr>
        <w:t>了资金被挤占和挪用现象的发生</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跟踪检查到位。财政、纪检、监察等职能部门全面参与专项资金事前、事中和事后全过程的监管。在监督环节上</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实行关口前移</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从事后监督管理转向事前审核</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事中监督和事后检查稽核相结合的监督制度上来</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形成多环节全过程的监督管理格局</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尽量早发现问题</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早解决问题。</w:t>
      </w:r>
    </w:p>
    <w:p w14:paraId="7718D982">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6DB9920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主要在细化、量化上改进。在绩效自评过程中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由干部分人员缺乏相关绩效管理专业知识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自评价工作还存在自我审定的局限性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影响评价质量。</w:t>
      </w:r>
    </w:p>
    <w:p w14:paraId="5DECF646">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缺乏专职人员，现有工作人员仍是从自然资源局借用，不能保证工作延续性。</w:t>
      </w:r>
    </w:p>
    <w:p w14:paraId="07DFE534">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14:paraId="3D0CB4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en-US" w:eastAsia="zh-CN"/>
        </w:rPr>
        <w:t>加大业务人员培训力度，</w:t>
      </w:r>
      <w:r>
        <w:rPr>
          <w:rFonts w:hint="default" w:ascii="Times New Roman" w:hAnsi="Times New Roman" w:eastAsia="仿宋_GB2312" w:cs="Times New Roman"/>
          <w:sz w:val="32"/>
          <w:szCs w:val="32"/>
          <w:highlight w:val="none"/>
          <w:lang w:val="en-US" w:eastAsia="zh-CN"/>
        </w:rPr>
        <w:t>进一步提升</w:t>
      </w:r>
      <w:bookmarkStart w:id="1" w:name="_GoBack"/>
      <w:bookmarkEnd w:id="1"/>
      <w:r>
        <w:rPr>
          <w:rFonts w:hint="default" w:ascii="Times New Roman" w:hAnsi="Times New Roman" w:eastAsia="仿宋_GB2312" w:cs="Times New Roman"/>
          <w:sz w:val="32"/>
          <w:szCs w:val="32"/>
          <w:highlight w:val="none"/>
          <w:lang w:val="en-US" w:eastAsia="zh-CN"/>
        </w:rPr>
        <w:t>我单位绩效管理工作业务水平</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积极开展绩效管理工作培训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进一步夯实业务基础</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提高我单位绩效人员水平</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扎实做好绩效管理工作。</w:t>
      </w:r>
    </w:p>
    <w:p w14:paraId="6DBF18A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2.进一步规范项目建设的程序。项目前期做好可行性研究报告</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更加细化实施方案</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严格执行资金管理办法和财政资金管理制度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严格按照项目实施方案、招投标管理办法等稳步推进工作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各部门单位根据自己项目的特点进行总结。</w:t>
      </w:r>
    </w:p>
    <w:p w14:paraId="6FA6DDDE">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.进一步完善项目评价过程中有关数据和资料的收集、整理、审核及分析。项目启动时同步做好档案的归纳与整理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及时整理、收集、汇总</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健全档案资料。项目后续管理有待进一步加强和跟踪。</w:t>
      </w:r>
    </w:p>
    <w:p w14:paraId="14759E5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.进一步加强对绩效管理工作的组织领导</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提高对预算绩效管理工作重要性的认识</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总结经验查找问题</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抓紧研究制定更全面更完善的绩效评价管理办法。</w:t>
      </w:r>
    </w:p>
    <w:p w14:paraId="2D57BE26">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5635C2CC">
      <w:pPr>
        <w:pStyle w:val="12"/>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本项目无其他需说明的问题。</w:t>
      </w:r>
    </w:p>
    <w:p w14:paraId="6D1E0B23">
      <w:pPr>
        <w:spacing w:line="560" w:lineRule="exact"/>
        <w:rPr>
          <w:rFonts w:hint="default" w:ascii="Times New Roman" w:hAnsi="Times New Roman" w:cs="Times New Roma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0AC299-8999-43C0-8AE8-23DAB486EC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7226D68-B769-4D32-BAAA-AEE3CB32A04F}"/>
  </w:font>
  <w:font w:name="华文中宋">
    <w:panose1 w:val="02010600040101010101"/>
    <w:charset w:val="86"/>
    <w:family w:val="auto"/>
    <w:pitch w:val="default"/>
    <w:sig w:usb0="00000287" w:usb1="080F0000" w:usb2="00000000" w:usb3="00000000" w:csb0="0004009F" w:csb1="DFD70000"/>
    <w:embedRegular r:id="rId3" w:fontKey="{613D765A-C4F1-46D4-AC94-D6301D5022C3}"/>
  </w:font>
  <w:font w:name="方正小标宋_GBK">
    <w:panose1 w:val="02000000000000000000"/>
    <w:charset w:val="86"/>
    <w:family w:val="script"/>
    <w:pitch w:val="default"/>
    <w:sig w:usb0="A00002BF" w:usb1="38CF7CFA" w:usb2="00082016" w:usb3="00000000" w:csb0="00040001" w:csb1="00000000"/>
    <w:embedRegular r:id="rId4" w:fontKey="{46E98AB3-4E17-4E6E-B6AF-7B2EB378323A}"/>
  </w:font>
  <w:font w:name="楷体_GB2312">
    <w:panose1 w:val="02010609030101010101"/>
    <w:charset w:val="86"/>
    <w:family w:val="auto"/>
    <w:pitch w:val="default"/>
    <w:sig w:usb0="00000001" w:usb1="080E0000" w:usb2="00000000" w:usb3="00000000" w:csb0="00040000" w:csb1="00000000"/>
    <w:embedRegular r:id="rId5" w:fontKey="{CB949C73-7663-46E5-B77B-9FD25FF3C719}"/>
  </w:font>
  <w:font w:name="方正仿宋_GBK">
    <w:panose1 w:val="02000000000000000000"/>
    <w:charset w:val="86"/>
    <w:family w:val="auto"/>
    <w:pitch w:val="default"/>
    <w:sig w:usb0="A00002BF" w:usb1="38CF7CFA" w:usb2="00082016" w:usb3="00000000" w:csb0="00040001" w:csb1="00000000"/>
    <w:embedRegular r:id="rId6" w:fontKey="{72BCFF06-62E5-4BD1-AE3F-4CB6F072475F}"/>
  </w:font>
  <w:font w:name="楷体">
    <w:panose1 w:val="02010609060101010101"/>
    <w:charset w:val="86"/>
    <w:family w:val="modern"/>
    <w:pitch w:val="default"/>
    <w:sig w:usb0="800002BF" w:usb1="38CF7CFA" w:usb2="00000016" w:usb3="00000000" w:csb0="00040001" w:csb1="00000000"/>
    <w:embedRegular r:id="rId7" w:fontKey="{BB16E351-D2FE-469B-928B-BF9DBD541B1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04CDCC0">
        <w:pPr>
          <w:pStyle w:val="7"/>
          <w:jc w:val="center"/>
        </w:pPr>
        <w:r>
          <w:fldChar w:fldCharType="begin"/>
        </w:r>
        <w:r>
          <w:instrText xml:space="preserve">PAGE   \* MERGEFORMAT</w:instrText>
        </w:r>
        <w:r>
          <w:fldChar w:fldCharType="separate"/>
        </w:r>
        <w:r>
          <w:rPr>
            <w:lang w:val="zh-CN"/>
          </w:rPr>
          <w:t>13</w:t>
        </w:r>
        <w:r>
          <w:fldChar w:fldCharType="end"/>
        </w:r>
      </w:p>
    </w:sdtContent>
  </w:sdt>
  <w:p w14:paraId="371389E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C4571"/>
    <w:multiLevelType w:val="singleLevel"/>
    <w:tmpl w:val="96EC4571"/>
    <w:lvl w:ilvl="0" w:tentative="0">
      <w:start w:val="3"/>
      <w:numFmt w:val="chineseCounting"/>
      <w:suff w:val="nothing"/>
      <w:lvlText w:val="%1、"/>
      <w:lvlJc w:val="left"/>
      <w:rPr>
        <w:rFonts w:hint="eastAsia"/>
      </w:rPr>
    </w:lvl>
  </w:abstractNum>
  <w:abstractNum w:abstractNumId="1">
    <w:nsid w:val="D493FE3D"/>
    <w:multiLevelType w:val="singleLevel"/>
    <w:tmpl w:val="D493FE3D"/>
    <w:lvl w:ilvl="0" w:tentative="0">
      <w:start w:val="2"/>
      <w:numFmt w:val="chineseCounting"/>
      <w:suff w:val="nothing"/>
      <w:lvlText w:val="（%1）"/>
      <w:lvlJc w:val="left"/>
      <w:rPr>
        <w:rFonts w:hint="eastAsia"/>
      </w:rPr>
    </w:lvl>
  </w:abstractNum>
  <w:abstractNum w:abstractNumId="2">
    <w:nsid w:val="E1611701"/>
    <w:multiLevelType w:val="singleLevel"/>
    <w:tmpl w:val="E1611701"/>
    <w:lvl w:ilvl="0" w:tentative="0">
      <w:start w:val="1"/>
      <w:numFmt w:val="chineseCounting"/>
      <w:suff w:val="nothing"/>
      <w:lvlText w:val="%1、"/>
      <w:lvlJc w:val="left"/>
      <w:rPr>
        <w:rFonts w:hint="eastAsia"/>
      </w:rPr>
    </w:lvl>
  </w:abstractNum>
  <w:abstractNum w:abstractNumId="3">
    <w:nsid w:val="FA415AF1"/>
    <w:multiLevelType w:val="singleLevel"/>
    <w:tmpl w:val="FA415AF1"/>
    <w:lvl w:ilvl="0" w:tentative="0">
      <w:start w:val="3"/>
      <w:numFmt w:val="chineseCounting"/>
      <w:suff w:val="nothing"/>
      <w:lvlText w:val="（%1）"/>
      <w:lvlJc w:val="left"/>
      <w:rPr>
        <w:rFonts w:hint="eastAsia"/>
      </w:rPr>
    </w:lvl>
  </w:abstractNum>
  <w:abstractNum w:abstractNumId="4">
    <w:nsid w:val="2077C126"/>
    <w:multiLevelType w:val="singleLevel"/>
    <w:tmpl w:val="2077C126"/>
    <w:lvl w:ilvl="0" w:tentative="0">
      <w:start w:val="1"/>
      <w:numFmt w:val="decimal"/>
      <w:suff w:val="nothing"/>
      <w:lvlText w:val="（%1）"/>
      <w:lvlJc w:val="left"/>
    </w:lvl>
  </w:abstractNum>
  <w:abstractNum w:abstractNumId="5">
    <w:nsid w:val="49368498"/>
    <w:multiLevelType w:val="singleLevel"/>
    <w:tmpl w:val="49368498"/>
    <w:lvl w:ilvl="0" w:tentative="0">
      <w:start w:val="2"/>
      <w:numFmt w:val="chineseCounting"/>
      <w:suff w:val="nothing"/>
      <w:lvlText w:val="（%1）"/>
      <w:lvlJc w:val="left"/>
      <w:rPr>
        <w:rFonts w:hint="eastAsia"/>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3FAD410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5"/>
    <w:link w:val="6"/>
    <w:qFormat/>
    <w:uiPriority w:val="0"/>
    <w:rPr>
      <w:rFonts w:ascii="Times New Roman" w:hAnsi="Times New Roman" w:eastAsia="宋体" w:cs="Times New Roman"/>
      <w:kern w:val="2"/>
      <w:sz w:val="18"/>
      <w:szCs w:val="18"/>
    </w:rPr>
  </w:style>
  <w:style w:type="character" w:customStyle="1" w:styleId="23">
    <w:name w:val="页眉 字符"/>
    <w:basedOn w:val="15"/>
    <w:link w:val="8"/>
    <w:qFormat/>
    <w:uiPriority w:val="0"/>
    <w:rPr>
      <w:rFonts w:ascii="Times New Roman" w:hAnsi="Times New Roman" w:eastAsia="宋体" w:cs="Times New Roman"/>
      <w:kern w:val="2"/>
      <w:sz w:val="18"/>
      <w:szCs w:val="18"/>
    </w:rPr>
  </w:style>
  <w:style w:type="character" w:customStyle="1" w:styleId="24">
    <w:name w:val="批注文字 字符"/>
    <w:basedOn w:val="15"/>
    <w:link w:val="17"/>
    <w:qFormat/>
    <w:uiPriority w:val="0"/>
    <w:rPr>
      <w:rFonts w:ascii="Times New Roman" w:hAnsi="Times New Roman" w:eastAsia="宋体" w:cs="Times New Roman"/>
      <w:kern w:val="2"/>
      <w:sz w:val="21"/>
      <w:szCs w:val="24"/>
    </w:rPr>
  </w:style>
  <w:style w:type="character" w:customStyle="1" w:styleId="25">
    <w:name w:val="批注主题 字符"/>
    <w:basedOn w:val="24"/>
    <w:link w:val="18"/>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5E6B9C178ACE44F5BEBB0B91D9C00D21</vt:lpwstr>
  </property>
  <property fmtid="{D5CDD505-2E9C-101B-9397-08002B2CF9AE}" pid="4" name="KSOTemplateDocerSaveRecord">
    <vt:lpwstr>eyJoZGlkIjoiY2UxYTY5Njg0NWU1NDU5MmE3NzhjZDNiMDAyZDZjNWUiLCJ1c2VySWQiOiIxMTEwNzY4OCJ9</vt:lpwstr>
  </property>
</Properties>
</file>

<file path=customXml/itemProps1.xml><?xml version="1.0" encoding="utf-8"?>
<ds:datastoreItem xmlns:ds="http://schemas.openxmlformats.org/officeDocument/2006/customXml" ds:itemID="{a18758d8-cabb-4223-9721-22f8387850df}">
  <ds:schemaRefs/>
</ds:datastoreItem>
</file>

<file path=docProps/app.xml><?xml version="1.0" encoding="utf-8"?>
<Properties xmlns="http://schemas.openxmlformats.org/officeDocument/2006/extended-properties" xmlns:vt="http://schemas.openxmlformats.org/officeDocument/2006/docPropsVTypes">
  <Template>Normal</Template>
  <Pages>21</Pages>
  <Words>8076</Words>
  <Characters>8427</Characters>
  <Lines>58</Lines>
  <Paragraphs>16</Paragraphs>
  <TotalTime>48</TotalTime>
  <ScaleCrop>false</ScaleCrop>
  <LinksUpToDate>false</LinksUpToDate>
  <CharactersWithSpaces>8433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Think pad</cp:lastModifiedBy>
  <dcterms:modified xsi:type="dcterms:W3CDTF">2025-11-07T05:43:00Z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5E6B9C178ACE44F5BEBB0B91D9C00D21</vt:lpwstr>
  </property>
  <property fmtid="{D5CDD505-2E9C-101B-9397-08002B2CF9AE}" pid="4" name="KSOTemplateDocerSaveRecord">
    <vt:lpwstr>eyJoZGlkIjoiY2UxYTY5Njg0NWU1NDU5MmE3NzhjZDNiMDAyZDZjNWUiLCJ1c2VySWQiOiIxMTEwNzY4OCJ9</vt:lpwstr>
  </property>
</Properties>
</file>